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Classroom Observation Rubric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i w:val="1"/>
          <w:color w:val="0000ff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18"/>
          <w:szCs w:val="18"/>
          <w:rtl w:val="0"/>
        </w:rPr>
        <w:t xml:space="preserve">*This tool is intended for use with the 8 Effective Teaching &amp; Learning Practices (Pre/Post Assessment)</w:t>
      </w: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3060"/>
        <w:gridCol w:w="3360"/>
        <w:gridCol w:w="3300"/>
        <w:gridCol w:w="3060"/>
        <w:tblGridChange w:id="0">
          <w:tblGrid>
            <w:gridCol w:w="2025"/>
            <w:gridCol w:w="3060"/>
            <w:gridCol w:w="3360"/>
            <w:gridCol w:w="3300"/>
            <w:gridCol w:w="3060"/>
          </w:tblGrid>
        </w:tblGridChange>
      </w:tblGrid>
      <w:tr>
        <w:trPr>
          <w:cantSplit w:val="0"/>
          <w:trHeight w:val="260.77148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rtl w:val="0"/>
              </w:rPr>
              <w:t xml:space="preserve">ETLP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ETLP 5-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Active Supervision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seldomly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moves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around,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classroom, or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interacts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with students. </w:t>
            </w:r>
          </w:p>
        </w:tc>
        <w:tc>
          <w:tcPr>
            <w:tcBorders>
              <w:top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occasionally moves around, scans the classroom, and interacts with students. </w:t>
            </w:r>
          </w:p>
        </w:tc>
        <w:tc>
          <w:tcPr>
            <w:tcBorders>
              <w:top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frequently moves around, scans the classroom, and interacts with students. </w:t>
            </w:r>
          </w:p>
        </w:tc>
        <w:tc>
          <w:tcPr>
            <w:tcBorders>
              <w:top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frequently moves around, scans the classroom, positively &amp; proactively interacts with students. </w:t>
            </w:r>
          </w:p>
        </w:tc>
      </w:tr>
      <w:tr>
        <w:trPr>
          <w:cantSplit w:val="0"/>
          <w:trHeight w:val="867.421875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may be engaged in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activity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other than student monitoring.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Some areas of the room are visible &amp; monitored.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Most areas of the room are visible &amp; monitored.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 areas of the room are visible &amp; continuously monitored. </w:t>
            </w:r>
          </w:p>
        </w:tc>
      </w:tr>
      <w:tr>
        <w:trPr>
          <w:cantSplit w:val="0"/>
          <w:trHeight w:val="1280.703124999999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ETLP 6-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Opportunities to Respond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Opportunities for students to respond verbally or nonverbally are not overtly observed.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provides minimal opportunities for students to respond verbally or nonverbally.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provides multiple opportunities for most (not all students) to respond verbally or nonverbally using a variety of strategies. 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provides multiple opportunities for ALL students to respond verbally or nonverbally using a variety of strategies.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Wait time is not observed.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Wait time is less than 3 seconds.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provides appropriate wait time for sharing (3-5 seconds).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provides appropriate wait time for sharing (3-5 seconds).  </w:t>
            </w:r>
          </w:p>
        </w:tc>
      </w:tr>
      <w:tr>
        <w:trPr>
          <w:cantSplit w:val="0"/>
          <w:trHeight w:val="805.6640625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talk is the main instructional method.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Opportunities to respond are limited, and teacher talk was greater than 50% of instruction.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uses opportunities to respond; however, teacher talk was greater than 50% of instruction.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talk is limited to 50% or less of instruction.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ETLP 7-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Activity Sequencing &amp; Choice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 choice is not observed.</w:t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 choice is limited.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(ex: Minimal opportunities for choice)</w:t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lesson incorporates student choice, but not in a variety of ways.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(ex: Multiple opportunities for choice; however, the choice is the same--choose a partner)</w:t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Lesson incorporates student choices in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variety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ways (order,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materials, partners, location, type of task).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Activity sequencing is not observed.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Lesson is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sequenced to promote student success using 1 of the following–pacing, differentiation, or alternating easy with challenging tasks.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Lesson is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sequenced to promote student success using 2 of the following–pacing, differentiation, or alternating easy with challenging tasks.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Lesson is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intentionally sequenced to promote student success using all of the following–pacing, differentiation, alternating easy with challenging tasks.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ETLP 8-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Task Difficulty</w:t>
              </w:r>
            </w:hyperlink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Scaffolding of instruction and instructional materials are not observed.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 is minimal evidence of scaffolding observed.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scaffolds instruction, instructional materials,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student tasks/assignments.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(ex: Anchor charts, questioning, differentiated materials and instruction, time allotted for activities)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scaffolds instruction, instructional materials,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student tasks/assignments.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(ex: Anchor charts, questioning, differentiated materials and instruction, time allotted for activities)</w:t>
            </w:r>
          </w:p>
        </w:tc>
      </w:tr>
    </w:tbl>
    <w:p w:rsidR="00000000" w:rsidDel="00000000" w:rsidP="00000000" w:rsidRDefault="00000000" w:rsidRPr="00000000" w14:paraId="00000041">
      <w:pPr>
        <w:jc w:val="right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Teacher Tool Link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https://pbismissouri.org/tier-1-effective-classroom-practices/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16"/>
            <w:szCs w:val="16"/>
            <w:u w:val="single"/>
            <w:rtl w:val="0"/>
          </w:rPr>
          <w:t xml:space="preserve">Updated versions of Teacher tools </w:t>
        </w:r>
      </w:hyperlink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2022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0" w:top="45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hTT2DriCW_GzM7_Q9eD0qREfzIhDvJsyuV12xBkfykI/edit" TargetMode="External"/><Relationship Id="rId10" Type="http://schemas.openxmlformats.org/officeDocument/2006/relationships/hyperlink" Target="https://pbismissouri.org/tier-1-effective-classroom-practices/" TargetMode="External"/><Relationship Id="rId9" Type="http://schemas.openxmlformats.org/officeDocument/2006/relationships/hyperlink" Target="https://pbismissouri.org/wp-content/uploads/2017/06/1.8_Teacher_Tool_Task_Difficulty_120114-2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pbismissouri.org/wp-content/uploads/2017/06/ECP5.1-Teacher-Tool-Classroom-Active-Supervision-1.pdf" TargetMode="External"/><Relationship Id="rId7" Type="http://schemas.openxmlformats.org/officeDocument/2006/relationships/hyperlink" Target="https://pbismissouri.org/wp-content/uploads/2017/06/ECP6.1-Teacher-Tool-Classroom-OTR-1.pdf" TargetMode="External"/><Relationship Id="rId8" Type="http://schemas.openxmlformats.org/officeDocument/2006/relationships/hyperlink" Target="https://pbismissouri.org/wp-content/uploads/2017/06/ECP7.1-Teacher-Tool-Classroom-Activity-Sequencing-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