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C8F2" w14:textId="77777777" w:rsidR="000225E0" w:rsidRPr="00523D3A" w:rsidRDefault="000225E0" w:rsidP="000225E0">
      <w:pPr>
        <w:spacing w:before="70" w:after="0" w:line="240" w:lineRule="auto"/>
        <w:ind w:right="-20"/>
        <w:jc w:val="center"/>
        <w:rPr>
          <w:rFonts w:ascii="Arial" w:eastAsia="Arial" w:hAnsi="Arial" w:cs="Arial"/>
          <w:b/>
          <w:sz w:val="28"/>
          <w:szCs w:val="28"/>
        </w:rPr>
      </w:pPr>
      <w:r w:rsidRPr="00523D3A">
        <w:rPr>
          <w:rFonts w:ascii="Arial" w:eastAsia="Arial" w:hAnsi="Arial" w:cs="Arial"/>
          <w:b/>
          <w:color w:val="231F20"/>
          <w:sz w:val="28"/>
          <w:szCs w:val="28"/>
        </w:rPr>
        <w:t>MO SW-PBS Data Collection At-A-Glance</w:t>
      </w:r>
    </w:p>
    <w:p w14:paraId="7343A754" w14:textId="77777777" w:rsidR="000225E0" w:rsidRPr="006A4D67" w:rsidRDefault="000225E0" w:rsidP="000225E0">
      <w:pPr>
        <w:spacing w:before="14" w:after="0" w:line="240" w:lineRule="auto"/>
        <w:rPr>
          <w:szCs w:val="26"/>
        </w:rPr>
      </w:pPr>
    </w:p>
    <w:tbl>
      <w:tblPr>
        <w:tblW w:w="13580" w:type="dxa"/>
        <w:jc w:val="center"/>
        <w:tblLayout w:type="fixed"/>
        <w:tblCellMar>
          <w:left w:w="0" w:type="dxa"/>
          <w:right w:w="0" w:type="dxa"/>
        </w:tblCellMar>
        <w:tblLook w:val="01E0" w:firstRow="1" w:lastRow="1" w:firstColumn="1" w:lastColumn="1" w:noHBand="0" w:noVBand="0"/>
      </w:tblPr>
      <w:tblGrid>
        <w:gridCol w:w="1610"/>
        <w:gridCol w:w="1530"/>
        <w:gridCol w:w="1530"/>
        <w:gridCol w:w="8910"/>
      </w:tblGrid>
      <w:tr w:rsidR="00523D3A" w:rsidRPr="00B86809" w14:paraId="1865633C" w14:textId="77777777" w:rsidTr="00523D3A">
        <w:trPr>
          <w:trHeight w:hRule="exact" w:val="298"/>
          <w:jc w:val="center"/>
        </w:trPr>
        <w:tc>
          <w:tcPr>
            <w:tcW w:w="1610" w:type="dxa"/>
            <w:tcBorders>
              <w:top w:val="single" w:sz="4" w:space="0" w:color="231F20"/>
              <w:left w:val="single" w:sz="4" w:space="0" w:color="231F20"/>
              <w:bottom w:val="single" w:sz="4" w:space="0" w:color="231F20"/>
              <w:right w:val="single" w:sz="4" w:space="0" w:color="231F20"/>
            </w:tcBorders>
            <w:shd w:val="clear" w:color="auto" w:fill="231F20"/>
          </w:tcPr>
          <w:p w14:paraId="3A08B273" w14:textId="77777777" w:rsidR="00523D3A" w:rsidRPr="00B86809" w:rsidRDefault="00523D3A" w:rsidP="00B611BB">
            <w:pPr>
              <w:spacing w:after="0" w:line="240" w:lineRule="auto"/>
              <w:ind w:left="284" w:right="-20"/>
              <w:rPr>
                <w:rFonts w:ascii="Minion Pro" w:eastAsia="Minion Pro" w:hAnsi="Minion Pro" w:cs="Minion Pro"/>
                <w:sz w:val="19"/>
                <w:szCs w:val="19"/>
              </w:rPr>
            </w:pPr>
            <w:r w:rsidRPr="00B86809">
              <w:rPr>
                <w:rFonts w:ascii="Minion Pro" w:eastAsia="Minion Pro" w:hAnsi="Minion Pro" w:cs="Minion Pro"/>
                <w:b/>
                <w:bCs/>
                <w:color w:val="FFFFFF"/>
                <w:sz w:val="19"/>
                <w:szCs w:val="19"/>
              </w:rPr>
              <w:t>Data Source</w:t>
            </w:r>
          </w:p>
        </w:tc>
        <w:tc>
          <w:tcPr>
            <w:tcW w:w="1530" w:type="dxa"/>
            <w:tcBorders>
              <w:top w:val="single" w:sz="4" w:space="0" w:color="231F20"/>
              <w:left w:val="single" w:sz="4" w:space="0" w:color="231F20"/>
              <w:bottom w:val="single" w:sz="4" w:space="0" w:color="231F20"/>
              <w:right w:val="single" w:sz="4" w:space="0" w:color="231F20"/>
            </w:tcBorders>
            <w:shd w:val="clear" w:color="auto" w:fill="231F20"/>
          </w:tcPr>
          <w:p w14:paraId="7AB2A829" w14:textId="77777777" w:rsidR="00523D3A" w:rsidRPr="00B86809" w:rsidRDefault="00523D3A" w:rsidP="00B611BB">
            <w:pPr>
              <w:spacing w:after="0" w:line="240" w:lineRule="auto"/>
              <w:ind w:left="374" w:right="-20"/>
              <w:rPr>
                <w:rFonts w:ascii="Minion Pro" w:eastAsia="Minion Pro" w:hAnsi="Minion Pro" w:cs="Minion Pro"/>
                <w:sz w:val="19"/>
                <w:szCs w:val="19"/>
              </w:rPr>
            </w:pPr>
            <w:r w:rsidRPr="00B86809">
              <w:rPr>
                <w:rFonts w:ascii="Minion Pro" w:eastAsia="Minion Pro" w:hAnsi="Minion Pro" w:cs="Minion Pro"/>
                <w:b/>
                <w:bCs/>
                <w:color w:val="FFFFFF"/>
                <w:sz w:val="19"/>
                <w:szCs w:val="19"/>
              </w:rPr>
              <w:t>Reporter</w:t>
            </w:r>
          </w:p>
        </w:tc>
        <w:tc>
          <w:tcPr>
            <w:tcW w:w="1530" w:type="dxa"/>
            <w:tcBorders>
              <w:top w:val="single" w:sz="4" w:space="0" w:color="231F20"/>
              <w:left w:val="single" w:sz="4" w:space="0" w:color="231F20"/>
              <w:bottom w:val="single" w:sz="4" w:space="0" w:color="231F20"/>
              <w:right w:val="single" w:sz="4" w:space="0" w:color="231F20"/>
            </w:tcBorders>
            <w:shd w:val="clear" w:color="auto" w:fill="231F20"/>
          </w:tcPr>
          <w:p w14:paraId="32EA3604" w14:textId="77777777" w:rsidR="00523D3A" w:rsidRPr="00B86809" w:rsidRDefault="00523D3A" w:rsidP="00523D3A">
            <w:pPr>
              <w:spacing w:after="0" w:line="240" w:lineRule="auto"/>
              <w:jc w:val="center"/>
              <w:rPr>
                <w:rFonts w:ascii="Minion Pro" w:eastAsia="Minion Pro" w:hAnsi="Minion Pro" w:cs="Minion Pro"/>
                <w:sz w:val="19"/>
                <w:szCs w:val="19"/>
              </w:rPr>
            </w:pPr>
            <w:r w:rsidRPr="00B86809">
              <w:rPr>
                <w:rFonts w:ascii="Minion Pro" w:eastAsia="Minion Pro" w:hAnsi="Minion Pro" w:cs="Minion Pro"/>
                <w:b/>
                <w:bCs/>
                <w:color w:val="FFFFFF"/>
                <w:sz w:val="19"/>
                <w:szCs w:val="19"/>
              </w:rPr>
              <w:t>When</w:t>
            </w:r>
          </w:p>
        </w:tc>
        <w:tc>
          <w:tcPr>
            <w:tcW w:w="8910" w:type="dxa"/>
            <w:tcBorders>
              <w:top w:val="single" w:sz="4" w:space="0" w:color="231F20"/>
              <w:left w:val="single" w:sz="4" w:space="0" w:color="231F20"/>
              <w:bottom w:val="single" w:sz="4" w:space="0" w:color="231F20"/>
              <w:right w:val="single" w:sz="4" w:space="0" w:color="231F20"/>
            </w:tcBorders>
            <w:shd w:val="clear" w:color="auto" w:fill="231F20"/>
          </w:tcPr>
          <w:p w14:paraId="5E26FA83" w14:textId="77777777" w:rsidR="00523D3A" w:rsidRPr="00B86809" w:rsidRDefault="00523D3A" w:rsidP="00B611BB">
            <w:pPr>
              <w:spacing w:after="0" w:line="240" w:lineRule="auto"/>
              <w:ind w:left="3669" w:right="3649"/>
              <w:jc w:val="center"/>
              <w:rPr>
                <w:rFonts w:ascii="Minion Pro" w:eastAsia="Minion Pro" w:hAnsi="Minion Pro" w:cs="Minion Pro"/>
                <w:sz w:val="19"/>
                <w:szCs w:val="19"/>
              </w:rPr>
            </w:pPr>
            <w:r w:rsidRPr="00B86809">
              <w:rPr>
                <w:rFonts w:ascii="Minion Pro" w:eastAsia="Minion Pro" w:hAnsi="Minion Pro" w:cs="Minion Pro"/>
                <w:b/>
                <w:bCs/>
                <w:color w:val="FFFFFF"/>
                <w:sz w:val="19"/>
                <w:szCs w:val="19"/>
              </w:rPr>
              <w:t>Purpose</w:t>
            </w:r>
            <w:r w:rsidRPr="00B86809">
              <w:rPr>
                <w:rFonts w:ascii="Minion Pro" w:eastAsia="Minion Pro" w:hAnsi="Minion Pro" w:cs="Minion Pro"/>
                <w:b/>
                <w:bCs/>
                <w:color w:val="231F20"/>
                <w:sz w:val="19"/>
                <w:szCs w:val="19"/>
              </w:rPr>
              <w:t>/Use</w:t>
            </w:r>
          </w:p>
        </w:tc>
      </w:tr>
      <w:tr w:rsidR="00523D3A" w:rsidRPr="00B86809" w14:paraId="64A1E1BB" w14:textId="77777777" w:rsidTr="00523D3A">
        <w:trPr>
          <w:trHeight w:hRule="exact" w:val="754"/>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0CA4EC6D" w14:textId="77777777" w:rsidR="00523D3A" w:rsidRPr="00B86809" w:rsidRDefault="00523D3A" w:rsidP="00523D3A">
            <w:pPr>
              <w:spacing w:after="0" w:line="240" w:lineRule="auto"/>
              <w:ind w:left="128" w:right="14" w:hanging="1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Big 5 ODR Reports</w:t>
            </w:r>
          </w:p>
        </w:tc>
        <w:tc>
          <w:tcPr>
            <w:tcW w:w="1530" w:type="dxa"/>
            <w:tcBorders>
              <w:top w:val="single" w:sz="4" w:space="0" w:color="231F20"/>
              <w:left w:val="single" w:sz="4" w:space="0" w:color="231F20"/>
              <w:bottom w:val="single" w:sz="4" w:space="0" w:color="231F20"/>
              <w:right w:val="single" w:sz="4" w:space="0" w:color="231F20"/>
            </w:tcBorders>
            <w:vAlign w:val="center"/>
          </w:tcPr>
          <w:p w14:paraId="3303799E" w14:textId="2FFEAA28"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Database</w:t>
            </w:r>
            <w:r>
              <w:rPr>
                <w:rFonts w:ascii="Minion Pro" w:eastAsia="Minion Pro" w:hAnsi="Minion Pro" w:cs="Minion Pro"/>
                <w:color w:val="231F20"/>
                <w:sz w:val="19"/>
                <w:szCs w:val="19"/>
              </w:rPr>
              <w:t xml:space="preserve"> </w:t>
            </w:r>
            <w:r w:rsidRPr="00B86809">
              <w:rPr>
                <w:rFonts w:ascii="Minion Pro" w:eastAsia="Minion Pro" w:hAnsi="Minion Pro" w:cs="Minion Pro"/>
                <w:color w:val="231F20"/>
                <w:sz w:val="19"/>
                <w:szCs w:val="19"/>
              </w:rPr>
              <w:t>Manager</w:t>
            </w:r>
          </w:p>
        </w:tc>
        <w:tc>
          <w:tcPr>
            <w:tcW w:w="1530" w:type="dxa"/>
            <w:tcBorders>
              <w:top w:val="single" w:sz="4" w:space="0" w:color="231F20"/>
              <w:left w:val="single" w:sz="4" w:space="0" w:color="231F20"/>
              <w:bottom w:val="single" w:sz="4" w:space="0" w:color="231F20"/>
              <w:right w:val="single" w:sz="4" w:space="0" w:color="231F20"/>
            </w:tcBorders>
            <w:vAlign w:val="center"/>
          </w:tcPr>
          <w:p w14:paraId="44F60A0D"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Monthly</w:t>
            </w:r>
          </w:p>
        </w:tc>
        <w:tc>
          <w:tcPr>
            <w:tcW w:w="8910" w:type="dxa"/>
            <w:tcBorders>
              <w:top w:val="single" w:sz="4" w:space="0" w:color="231F20"/>
              <w:left w:val="single" w:sz="4" w:space="0" w:color="231F20"/>
              <w:bottom w:val="single" w:sz="4" w:space="0" w:color="231F20"/>
              <w:right w:val="single" w:sz="4" w:space="0" w:color="231F20"/>
            </w:tcBorders>
          </w:tcPr>
          <w:p w14:paraId="2DEC7DC6"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color w:val="231F20"/>
                <w:sz w:val="19"/>
                <w:szCs w:val="19"/>
              </w:rPr>
              <w:t xml:space="preserve">The compilation of a school’s office discipline referral (ODR) data, which includes: 1) average referrals per day per month, 2) behavior, 3) location, 4) time, and 5) </w:t>
            </w:r>
            <w:proofErr w:type="gramStart"/>
            <w:r w:rsidRPr="00B86809">
              <w:rPr>
                <w:rFonts w:ascii="Minion Pro" w:eastAsia="Minion Pro" w:hAnsi="Minion Pro" w:cs="Minion Pro"/>
                <w:color w:val="231F20"/>
                <w:sz w:val="19"/>
                <w:szCs w:val="19"/>
              </w:rPr>
              <w:t>student’s</w:t>
            </w:r>
            <w:proofErr w:type="gramEnd"/>
            <w:r w:rsidRPr="00B86809">
              <w:rPr>
                <w:rFonts w:ascii="Minion Pro" w:eastAsia="Minion Pro" w:hAnsi="Minion Pro" w:cs="Minion Pro"/>
                <w:color w:val="231F20"/>
                <w:sz w:val="19"/>
                <w:szCs w:val="19"/>
              </w:rPr>
              <w:t xml:space="preserve"> involved. Used for problem identification and action planning. Also used to monitor progress on efforts.</w:t>
            </w:r>
          </w:p>
        </w:tc>
      </w:tr>
      <w:tr w:rsidR="00523D3A" w:rsidRPr="00B86809" w14:paraId="34F2A43C" w14:textId="77777777" w:rsidTr="00523D3A">
        <w:trPr>
          <w:trHeight w:hRule="exact" w:val="526"/>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705F7D92" w14:textId="450EA4F8"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Team Meeting</w:t>
            </w:r>
            <w:r>
              <w:rPr>
                <w:rFonts w:ascii="Minion Pro" w:eastAsia="Minion Pro" w:hAnsi="Minion Pro" w:cs="Minion Pro"/>
                <w:color w:val="231F20"/>
                <w:sz w:val="19"/>
                <w:szCs w:val="19"/>
              </w:rPr>
              <w:t xml:space="preserve"> </w:t>
            </w:r>
            <w:r w:rsidRPr="00B86809">
              <w:rPr>
                <w:rFonts w:ascii="Minion Pro" w:eastAsia="Minion Pro" w:hAnsi="Minion Pro" w:cs="Minion Pro"/>
                <w:color w:val="231F20"/>
                <w:sz w:val="19"/>
                <w:szCs w:val="19"/>
              </w:rPr>
              <w:t>Minutes</w:t>
            </w:r>
          </w:p>
        </w:tc>
        <w:tc>
          <w:tcPr>
            <w:tcW w:w="1530" w:type="dxa"/>
            <w:tcBorders>
              <w:top w:val="single" w:sz="4" w:space="0" w:color="231F20"/>
              <w:left w:val="single" w:sz="4" w:space="0" w:color="231F20"/>
              <w:bottom w:val="single" w:sz="4" w:space="0" w:color="231F20"/>
              <w:right w:val="single" w:sz="4" w:space="0" w:color="231F20"/>
            </w:tcBorders>
            <w:vAlign w:val="center"/>
          </w:tcPr>
          <w:p w14:paraId="21671E7A"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Secretary</w:t>
            </w:r>
          </w:p>
        </w:tc>
        <w:tc>
          <w:tcPr>
            <w:tcW w:w="1530" w:type="dxa"/>
            <w:tcBorders>
              <w:top w:val="single" w:sz="4" w:space="0" w:color="231F20"/>
              <w:left w:val="single" w:sz="4" w:space="0" w:color="231F20"/>
              <w:bottom w:val="single" w:sz="4" w:space="0" w:color="231F20"/>
              <w:right w:val="single" w:sz="4" w:space="0" w:color="231F20"/>
            </w:tcBorders>
            <w:vAlign w:val="center"/>
          </w:tcPr>
          <w:p w14:paraId="4E6EA264"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Ongoing</w:t>
            </w:r>
          </w:p>
        </w:tc>
        <w:tc>
          <w:tcPr>
            <w:tcW w:w="8910" w:type="dxa"/>
            <w:tcBorders>
              <w:top w:val="single" w:sz="4" w:space="0" w:color="231F20"/>
              <w:left w:val="single" w:sz="4" w:space="0" w:color="231F20"/>
              <w:bottom w:val="single" w:sz="4" w:space="0" w:color="231F20"/>
              <w:right w:val="single" w:sz="4" w:space="0" w:color="231F20"/>
            </w:tcBorders>
          </w:tcPr>
          <w:p w14:paraId="0558A65B"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color w:val="231F20"/>
                <w:sz w:val="19"/>
                <w:szCs w:val="19"/>
              </w:rPr>
              <w:t xml:space="preserve">A record of Leadership Team meetings, including decisions, next steps, and progress on action steps. Minutes serve </w:t>
            </w:r>
            <w:proofErr w:type="gramStart"/>
            <w:r w:rsidRPr="00B86809">
              <w:rPr>
                <w:rFonts w:ascii="Minion Pro" w:eastAsia="Minion Pro" w:hAnsi="Minion Pro" w:cs="Minion Pro"/>
                <w:color w:val="231F20"/>
                <w:sz w:val="19"/>
                <w:szCs w:val="19"/>
              </w:rPr>
              <w:t>as a means to</w:t>
            </w:r>
            <w:proofErr w:type="gramEnd"/>
            <w:r w:rsidRPr="00B86809">
              <w:rPr>
                <w:rFonts w:ascii="Minion Pro" w:eastAsia="Minion Pro" w:hAnsi="Minion Pro" w:cs="Minion Pro"/>
                <w:color w:val="231F20"/>
                <w:sz w:val="19"/>
                <w:szCs w:val="19"/>
              </w:rPr>
              <w:t xml:space="preserve"> communicate SW-PBS activities to all stakeholders.</w:t>
            </w:r>
          </w:p>
        </w:tc>
      </w:tr>
      <w:tr w:rsidR="00523D3A" w:rsidRPr="00B86809" w14:paraId="494690AB" w14:textId="77777777" w:rsidTr="00523D3A">
        <w:trPr>
          <w:trHeight w:hRule="exact" w:val="1360"/>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0DBC6413" w14:textId="697CF76A"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i/>
                <w:color w:val="231F20"/>
                <w:sz w:val="19"/>
                <w:szCs w:val="19"/>
              </w:rPr>
              <w:t>Self-Assessment</w:t>
            </w:r>
            <w:r>
              <w:rPr>
                <w:rFonts w:ascii="Minion Pro" w:eastAsia="Minion Pro" w:hAnsi="Minion Pro" w:cs="Minion Pro"/>
                <w:i/>
                <w:color w:val="231F20"/>
                <w:sz w:val="19"/>
                <w:szCs w:val="19"/>
              </w:rPr>
              <w:t xml:space="preserve"> </w:t>
            </w:r>
            <w:r w:rsidRPr="00B86809">
              <w:rPr>
                <w:rFonts w:ascii="Minion Pro" w:eastAsia="Minion Pro" w:hAnsi="Minion Pro" w:cs="Minion Pro"/>
                <w:i/>
                <w:color w:val="231F20"/>
                <w:sz w:val="19"/>
                <w:szCs w:val="19"/>
              </w:rPr>
              <w:t xml:space="preserve">Survey </w:t>
            </w:r>
            <w:r w:rsidRPr="00B86809">
              <w:rPr>
                <w:rFonts w:ascii="Minion Pro" w:eastAsia="Minion Pro" w:hAnsi="Minion Pro" w:cs="Minion Pro"/>
                <w:color w:val="231F20"/>
                <w:sz w:val="19"/>
                <w:szCs w:val="19"/>
              </w:rPr>
              <w:t>(SAS)</w:t>
            </w:r>
          </w:p>
        </w:tc>
        <w:tc>
          <w:tcPr>
            <w:tcW w:w="1530" w:type="dxa"/>
            <w:tcBorders>
              <w:top w:val="single" w:sz="4" w:space="0" w:color="231F20"/>
              <w:left w:val="single" w:sz="4" w:space="0" w:color="231F20"/>
              <w:bottom w:val="single" w:sz="4" w:space="0" w:color="231F20"/>
              <w:right w:val="single" w:sz="4" w:space="0" w:color="231F20"/>
            </w:tcBorders>
            <w:vAlign w:val="center"/>
          </w:tcPr>
          <w:p w14:paraId="0A25A9D9"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All School Staff</w:t>
            </w:r>
          </w:p>
        </w:tc>
        <w:tc>
          <w:tcPr>
            <w:tcW w:w="1530" w:type="dxa"/>
            <w:tcBorders>
              <w:top w:val="single" w:sz="4" w:space="0" w:color="231F20"/>
              <w:left w:val="single" w:sz="4" w:space="0" w:color="231F20"/>
              <w:bottom w:val="single" w:sz="4" w:space="0" w:color="231F20"/>
              <w:right w:val="single" w:sz="4" w:space="0" w:color="231F20"/>
            </w:tcBorders>
            <w:vAlign w:val="center"/>
          </w:tcPr>
          <w:p w14:paraId="3247B0E9"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Annually</w:t>
            </w:r>
          </w:p>
        </w:tc>
        <w:tc>
          <w:tcPr>
            <w:tcW w:w="8910" w:type="dxa"/>
            <w:tcBorders>
              <w:top w:val="single" w:sz="4" w:space="0" w:color="231F20"/>
              <w:left w:val="single" w:sz="4" w:space="0" w:color="231F20"/>
              <w:bottom w:val="single" w:sz="4" w:space="0" w:color="231F20"/>
              <w:right w:val="single" w:sz="4" w:space="0" w:color="231F20"/>
            </w:tcBorders>
          </w:tcPr>
          <w:p w14:paraId="035AB10A"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color w:val="231F20"/>
                <w:sz w:val="19"/>
                <w:szCs w:val="19"/>
              </w:rPr>
              <w:t>A survey of staff perceptions regarding the status and priority of SW-PBS systems. Includes assessment at the following levels of analysis: 1) schoolwide systems, 2) non-classroom systems (e.g., cafeteria, hallway, playground), 3) classroom systems, and 4) systems of support for individual students with severe and/ or chronic challenging behaviors. Used to assess fidelity of implementation, action planning and decision- making, and validation of Leadership Team’s actions.</w:t>
            </w:r>
          </w:p>
        </w:tc>
      </w:tr>
      <w:tr w:rsidR="00523D3A" w:rsidRPr="00B86809" w14:paraId="310C3693" w14:textId="77777777" w:rsidTr="00523D3A">
        <w:trPr>
          <w:trHeight w:hRule="exact" w:val="1894"/>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3E7138B2"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i/>
                <w:color w:val="231F20"/>
                <w:sz w:val="19"/>
                <w:szCs w:val="19"/>
              </w:rPr>
              <w:t>School Safety</w:t>
            </w:r>
          </w:p>
          <w:p w14:paraId="1898D8F6"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i/>
                <w:color w:val="231F20"/>
                <w:sz w:val="19"/>
                <w:szCs w:val="19"/>
              </w:rPr>
              <w:t xml:space="preserve">Survey </w:t>
            </w:r>
            <w:r w:rsidRPr="00B86809">
              <w:rPr>
                <w:rFonts w:ascii="Minion Pro" w:eastAsia="Minion Pro" w:hAnsi="Minion Pro" w:cs="Minion Pro"/>
                <w:color w:val="231F20"/>
                <w:sz w:val="19"/>
                <w:szCs w:val="19"/>
              </w:rPr>
              <w:t>(SSS)</w:t>
            </w:r>
          </w:p>
          <w:p w14:paraId="3AC8161B"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or</w:t>
            </w:r>
          </w:p>
          <w:p w14:paraId="3B422D1E" w14:textId="352E41FE"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i/>
                <w:color w:val="231F20"/>
                <w:sz w:val="19"/>
                <w:szCs w:val="19"/>
              </w:rPr>
              <w:t>School Climate</w:t>
            </w:r>
            <w:r>
              <w:rPr>
                <w:rFonts w:ascii="Minion Pro" w:eastAsia="Minion Pro" w:hAnsi="Minion Pro" w:cs="Minion Pro"/>
                <w:i/>
                <w:color w:val="231F20"/>
                <w:sz w:val="19"/>
                <w:szCs w:val="19"/>
              </w:rPr>
              <w:t xml:space="preserve"> </w:t>
            </w:r>
            <w:r w:rsidRPr="00B86809">
              <w:rPr>
                <w:rFonts w:ascii="Minion Pro" w:eastAsia="Minion Pro" w:hAnsi="Minion Pro" w:cs="Minion Pro"/>
                <w:i/>
                <w:color w:val="231F20"/>
                <w:sz w:val="19"/>
                <w:szCs w:val="19"/>
              </w:rPr>
              <w:t xml:space="preserve">Survey </w:t>
            </w:r>
            <w:r w:rsidRPr="00B86809">
              <w:rPr>
                <w:rFonts w:ascii="Minion Pro" w:eastAsia="Minion Pro" w:hAnsi="Minion Pro" w:cs="Minion Pro"/>
                <w:color w:val="231F20"/>
                <w:sz w:val="19"/>
                <w:szCs w:val="19"/>
              </w:rPr>
              <w:t>(SCS)</w:t>
            </w:r>
          </w:p>
        </w:tc>
        <w:tc>
          <w:tcPr>
            <w:tcW w:w="1530" w:type="dxa"/>
            <w:tcBorders>
              <w:top w:val="single" w:sz="4" w:space="0" w:color="231F20"/>
              <w:left w:val="single" w:sz="4" w:space="0" w:color="231F20"/>
              <w:bottom w:val="single" w:sz="4" w:space="0" w:color="231F20"/>
              <w:right w:val="single" w:sz="4" w:space="0" w:color="231F20"/>
            </w:tcBorders>
            <w:vAlign w:val="center"/>
          </w:tcPr>
          <w:p w14:paraId="188F076B"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Representative</w:t>
            </w:r>
          </w:p>
          <w:p w14:paraId="421C40C1"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Staff (SSS)</w:t>
            </w:r>
          </w:p>
          <w:p w14:paraId="50ECFE62" w14:textId="77777777" w:rsidR="00523D3A" w:rsidRPr="00B86809" w:rsidRDefault="00523D3A" w:rsidP="00523D3A">
            <w:pPr>
              <w:spacing w:after="0" w:line="240" w:lineRule="auto"/>
              <w:ind w:left="14" w:right="14"/>
              <w:jc w:val="center"/>
              <w:rPr>
                <w:sz w:val="20"/>
                <w:szCs w:val="20"/>
              </w:rPr>
            </w:pPr>
          </w:p>
          <w:p w14:paraId="2EE7E060" w14:textId="77777777" w:rsidR="00523D3A" w:rsidRPr="00B86809" w:rsidRDefault="00523D3A" w:rsidP="00523D3A">
            <w:pPr>
              <w:spacing w:after="0" w:line="240" w:lineRule="auto"/>
              <w:ind w:left="14" w:right="14"/>
              <w:jc w:val="center"/>
            </w:pPr>
          </w:p>
          <w:p w14:paraId="10979680"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Students (SCS)</w:t>
            </w:r>
          </w:p>
        </w:tc>
        <w:tc>
          <w:tcPr>
            <w:tcW w:w="1530" w:type="dxa"/>
            <w:tcBorders>
              <w:top w:val="single" w:sz="4" w:space="0" w:color="231F20"/>
              <w:left w:val="single" w:sz="4" w:space="0" w:color="231F20"/>
              <w:bottom w:val="single" w:sz="4" w:space="0" w:color="231F20"/>
              <w:right w:val="single" w:sz="4" w:space="0" w:color="231F20"/>
            </w:tcBorders>
            <w:vAlign w:val="center"/>
          </w:tcPr>
          <w:p w14:paraId="1308BD31"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Annually</w:t>
            </w:r>
          </w:p>
        </w:tc>
        <w:tc>
          <w:tcPr>
            <w:tcW w:w="8910" w:type="dxa"/>
            <w:tcBorders>
              <w:top w:val="single" w:sz="4" w:space="0" w:color="231F20"/>
              <w:left w:val="single" w:sz="4" w:space="0" w:color="231F20"/>
              <w:bottom w:val="single" w:sz="4" w:space="0" w:color="231F20"/>
              <w:right w:val="single" w:sz="4" w:space="0" w:color="231F20"/>
            </w:tcBorders>
          </w:tcPr>
          <w:p w14:paraId="514EB94C"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b/>
                <w:bCs/>
                <w:color w:val="231F20"/>
                <w:sz w:val="19"/>
                <w:szCs w:val="19"/>
              </w:rPr>
              <w:t xml:space="preserve">SSS </w:t>
            </w:r>
            <w:r w:rsidRPr="00B86809">
              <w:rPr>
                <w:rFonts w:ascii="Minion Pro" w:eastAsia="Minion Pro" w:hAnsi="Minion Pro" w:cs="Minion Pro"/>
                <w:color w:val="231F20"/>
                <w:sz w:val="19"/>
                <w:szCs w:val="19"/>
              </w:rPr>
              <w:t>- A staff survey to determine risk and protection factors for school safety and violence. It is completed by a minimum of five staff members. However, schools are encouraged to survey as many stakeholders as possible. Provides information to determine training and support needs related to school safety and violence prevention.</w:t>
            </w:r>
          </w:p>
          <w:p w14:paraId="542770CD" w14:textId="77777777" w:rsidR="00523D3A" w:rsidRPr="00B86809" w:rsidRDefault="00523D3A" w:rsidP="00523D3A">
            <w:pPr>
              <w:spacing w:after="0" w:line="240" w:lineRule="auto"/>
              <w:ind w:right="84"/>
            </w:pPr>
          </w:p>
          <w:p w14:paraId="081F3A4C"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b/>
                <w:bCs/>
                <w:color w:val="231F20"/>
                <w:sz w:val="19"/>
                <w:szCs w:val="19"/>
              </w:rPr>
              <w:t xml:space="preserve">SCS </w:t>
            </w:r>
            <w:r w:rsidRPr="00B86809">
              <w:rPr>
                <w:rFonts w:ascii="Minion Pro" w:eastAsia="Minion Pro" w:hAnsi="Minion Pro" w:cs="Minion Pro"/>
                <w:color w:val="231F20"/>
                <w:sz w:val="19"/>
                <w:szCs w:val="19"/>
              </w:rPr>
              <w:t>- A survey to measure student perceptions of school climate. The survey is brief, reliable, and valid for assessing perceived school climate among students in grades 3-12. The survey includes a set of demographic questions about the participant and questions related to school climate with Likert-type response options.</w:t>
            </w:r>
          </w:p>
        </w:tc>
      </w:tr>
      <w:tr w:rsidR="00523D3A" w:rsidRPr="00B86809" w14:paraId="2E50997D" w14:textId="77777777" w:rsidTr="00523D3A">
        <w:trPr>
          <w:trHeight w:hRule="exact" w:val="865"/>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71A28177"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MO SW-PBS Universal Support Checklist</w:t>
            </w:r>
          </w:p>
        </w:tc>
        <w:tc>
          <w:tcPr>
            <w:tcW w:w="1530" w:type="dxa"/>
            <w:tcBorders>
              <w:top w:val="single" w:sz="4" w:space="0" w:color="231F20"/>
              <w:left w:val="single" w:sz="4" w:space="0" w:color="231F20"/>
              <w:bottom w:val="single" w:sz="4" w:space="0" w:color="231F20"/>
              <w:right w:val="single" w:sz="4" w:space="0" w:color="231F20"/>
            </w:tcBorders>
            <w:vAlign w:val="center"/>
          </w:tcPr>
          <w:p w14:paraId="1EA53189"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Leadership Team</w:t>
            </w:r>
          </w:p>
        </w:tc>
        <w:tc>
          <w:tcPr>
            <w:tcW w:w="1530" w:type="dxa"/>
            <w:tcBorders>
              <w:top w:val="single" w:sz="4" w:space="0" w:color="231F20"/>
              <w:left w:val="single" w:sz="4" w:space="0" w:color="231F20"/>
              <w:bottom w:val="single" w:sz="4" w:space="0" w:color="231F20"/>
              <w:right w:val="single" w:sz="4" w:space="0" w:color="231F20"/>
            </w:tcBorders>
            <w:vAlign w:val="center"/>
          </w:tcPr>
          <w:p w14:paraId="4A0A2531"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On-going</w:t>
            </w:r>
          </w:p>
        </w:tc>
        <w:tc>
          <w:tcPr>
            <w:tcW w:w="8910" w:type="dxa"/>
            <w:tcBorders>
              <w:top w:val="single" w:sz="4" w:space="0" w:color="231F20"/>
              <w:left w:val="single" w:sz="4" w:space="0" w:color="231F20"/>
              <w:bottom w:val="single" w:sz="4" w:space="0" w:color="231F20"/>
              <w:right w:val="single" w:sz="4" w:space="0" w:color="231F20"/>
            </w:tcBorders>
          </w:tcPr>
          <w:p w14:paraId="0241B886"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color w:val="231F20"/>
                <w:sz w:val="19"/>
                <w:szCs w:val="19"/>
              </w:rPr>
              <w:t xml:space="preserve">A team checklist of Tier I systems and activities that should be completed in conjunction with action planning. Monitors activities for implementation of SW-PBS by tracking essential component items that are in place, partially in place, and not in place. All team members provide input and </w:t>
            </w:r>
            <w:proofErr w:type="gramStart"/>
            <w:r w:rsidRPr="00B86809">
              <w:rPr>
                <w:rFonts w:ascii="Minion Pro" w:eastAsia="Minion Pro" w:hAnsi="Minion Pro" w:cs="Minion Pro"/>
                <w:color w:val="231F20"/>
                <w:sz w:val="19"/>
                <w:szCs w:val="19"/>
              </w:rPr>
              <w:t>one member</w:t>
            </w:r>
            <w:proofErr w:type="gramEnd"/>
            <w:r w:rsidRPr="00B86809">
              <w:rPr>
                <w:rFonts w:ascii="Minion Pro" w:eastAsia="Minion Pro" w:hAnsi="Minion Pro" w:cs="Minion Pro"/>
                <w:color w:val="231F20"/>
                <w:sz w:val="19"/>
                <w:szCs w:val="19"/>
              </w:rPr>
              <w:t xml:space="preserve"> records group responses.</w:t>
            </w:r>
          </w:p>
        </w:tc>
      </w:tr>
      <w:tr w:rsidR="00523D3A" w:rsidRPr="00B86809" w14:paraId="40AC1945" w14:textId="77777777" w:rsidTr="00523D3A">
        <w:trPr>
          <w:trHeight w:hRule="exact" w:val="937"/>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28BD1B04"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MO SW-PBS School Outcome Data (SOD)</w:t>
            </w:r>
          </w:p>
        </w:tc>
        <w:tc>
          <w:tcPr>
            <w:tcW w:w="1530" w:type="dxa"/>
            <w:tcBorders>
              <w:top w:val="single" w:sz="4" w:space="0" w:color="231F20"/>
              <w:left w:val="single" w:sz="4" w:space="0" w:color="231F20"/>
              <w:bottom w:val="single" w:sz="4" w:space="0" w:color="231F20"/>
              <w:right w:val="single" w:sz="4" w:space="0" w:color="231F20"/>
            </w:tcBorders>
            <w:vAlign w:val="center"/>
          </w:tcPr>
          <w:p w14:paraId="79C232A1"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Administrator, Coach, or Database Manager</w:t>
            </w:r>
          </w:p>
        </w:tc>
        <w:tc>
          <w:tcPr>
            <w:tcW w:w="1530" w:type="dxa"/>
            <w:tcBorders>
              <w:top w:val="single" w:sz="4" w:space="0" w:color="231F20"/>
              <w:left w:val="single" w:sz="4" w:space="0" w:color="231F20"/>
              <w:bottom w:val="single" w:sz="4" w:space="0" w:color="231F20"/>
              <w:right w:val="single" w:sz="4" w:space="0" w:color="231F20"/>
            </w:tcBorders>
            <w:vAlign w:val="center"/>
          </w:tcPr>
          <w:p w14:paraId="7149848E"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Annually</w:t>
            </w:r>
          </w:p>
        </w:tc>
        <w:tc>
          <w:tcPr>
            <w:tcW w:w="8910" w:type="dxa"/>
            <w:tcBorders>
              <w:top w:val="single" w:sz="4" w:space="0" w:color="231F20"/>
              <w:left w:val="single" w:sz="4" w:space="0" w:color="231F20"/>
              <w:bottom w:val="single" w:sz="4" w:space="0" w:color="231F20"/>
              <w:right w:val="single" w:sz="4" w:space="0" w:color="231F20"/>
            </w:tcBorders>
          </w:tcPr>
          <w:p w14:paraId="2C6F30B3" w14:textId="77777777" w:rsidR="00523D3A" w:rsidRPr="00B86809" w:rsidRDefault="00523D3A" w:rsidP="00523D3A">
            <w:pPr>
              <w:spacing w:after="0" w:line="240" w:lineRule="auto"/>
              <w:ind w:left="75" w:right="84"/>
              <w:jc w:val="both"/>
              <w:rPr>
                <w:rFonts w:ascii="Minion Pro" w:eastAsia="Minion Pro" w:hAnsi="Minion Pro" w:cs="Minion Pro"/>
                <w:sz w:val="19"/>
                <w:szCs w:val="19"/>
              </w:rPr>
            </w:pPr>
            <w:r w:rsidRPr="00B86809">
              <w:rPr>
                <w:rFonts w:ascii="Minion Pro" w:eastAsia="Minion Pro" w:hAnsi="Minion Pro" w:cs="Minion Pro"/>
                <w:color w:val="231F20"/>
                <w:sz w:val="19"/>
                <w:szCs w:val="19"/>
              </w:rPr>
              <w:t>Schools are asked to submit the following data annually for aggregation into an End of Year (</w:t>
            </w:r>
            <w:proofErr w:type="spellStart"/>
            <w:r w:rsidRPr="00B86809">
              <w:rPr>
                <w:rFonts w:ascii="Minion Pro" w:eastAsia="Minion Pro" w:hAnsi="Minion Pro" w:cs="Minion Pro"/>
                <w:color w:val="231F20"/>
                <w:sz w:val="19"/>
                <w:szCs w:val="19"/>
              </w:rPr>
              <w:t>EoY</w:t>
            </w:r>
            <w:proofErr w:type="spellEnd"/>
            <w:r w:rsidRPr="00B86809">
              <w:rPr>
                <w:rFonts w:ascii="Minion Pro" w:eastAsia="Minion Pro" w:hAnsi="Minion Pro" w:cs="Minion Pro"/>
                <w:color w:val="231F20"/>
                <w:sz w:val="19"/>
                <w:szCs w:val="19"/>
              </w:rPr>
              <w:t>) report supplied by MO SW-PBS: 1) assistance referrals as well as referrals and eligibility for special education by grade level, 2) ODRs by gra</w:t>
            </w:r>
            <w:bookmarkStart w:id="0" w:name="_GoBack"/>
            <w:bookmarkEnd w:id="0"/>
            <w:r w:rsidRPr="00B86809">
              <w:rPr>
                <w:rFonts w:ascii="Minion Pro" w:eastAsia="Minion Pro" w:hAnsi="Minion Pro" w:cs="Minion Pro"/>
                <w:color w:val="231F20"/>
                <w:sz w:val="19"/>
                <w:szCs w:val="19"/>
              </w:rPr>
              <w:t>de level and IEP status, and 3) Triangle Data: the number of students with 0-1</w:t>
            </w:r>
            <w:r>
              <w:rPr>
                <w:rFonts w:ascii="Minion Pro" w:eastAsia="Minion Pro" w:hAnsi="Minion Pro" w:cs="Minion Pro"/>
                <w:color w:val="231F20"/>
                <w:sz w:val="19"/>
                <w:szCs w:val="19"/>
              </w:rPr>
              <w:t xml:space="preserve"> </w:t>
            </w:r>
            <w:r w:rsidRPr="00B86809">
              <w:rPr>
                <w:rFonts w:ascii="Minion Pro" w:eastAsia="Minion Pro" w:hAnsi="Minion Pro" w:cs="Minion Pro"/>
                <w:color w:val="231F20"/>
                <w:sz w:val="19"/>
                <w:szCs w:val="19"/>
              </w:rPr>
              <w:t>ODRs, 2-5 ODRs and 6+ ODRs.</w:t>
            </w:r>
          </w:p>
        </w:tc>
      </w:tr>
      <w:tr w:rsidR="00523D3A" w:rsidRPr="00B86809" w14:paraId="3ED12B99" w14:textId="77777777" w:rsidTr="00523D3A">
        <w:trPr>
          <w:trHeight w:hRule="exact" w:val="1207"/>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490CD03A" w14:textId="0078DFAE"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i/>
                <w:color w:val="231F20"/>
                <w:sz w:val="19"/>
                <w:szCs w:val="19"/>
              </w:rPr>
              <w:t>Tiered Fidelity</w:t>
            </w:r>
            <w:r>
              <w:rPr>
                <w:rFonts w:ascii="Minion Pro" w:eastAsia="Minion Pro" w:hAnsi="Minion Pro" w:cs="Minion Pro"/>
                <w:i/>
                <w:color w:val="231F20"/>
                <w:sz w:val="19"/>
                <w:szCs w:val="19"/>
              </w:rPr>
              <w:t xml:space="preserve"> </w:t>
            </w:r>
            <w:r w:rsidRPr="00B86809">
              <w:rPr>
                <w:rFonts w:ascii="Minion Pro" w:eastAsia="Minion Pro" w:hAnsi="Minion Pro" w:cs="Minion Pro"/>
                <w:i/>
                <w:color w:val="231F20"/>
                <w:sz w:val="19"/>
                <w:szCs w:val="19"/>
              </w:rPr>
              <w:t xml:space="preserve">Inventory </w:t>
            </w:r>
            <w:r w:rsidRPr="00B86809">
              <w:rPr>
                <w:rFonts w:ascii="Minion Pro" w:eastAsia="Minion Pro" w:hAnsi="Minion Pro" w:cs="Minion Pro"/>
                <w:color w:val="231F20"/>
                <w:sz w:val="19"/>
                <w:szCs w:val="19"/>
              </w:rPr>
              <w:t>(TFI)</w:t>
            </w:r>
          </w:p>
        </w:tc>
        <w:tc>
          <w:tcPr>
            <w:tcW w:w="1530" w:type="dxa"/>
            <w:tcBorders>
              <w:top w:val="single" w:sz="4" w:space="0" w:color="231F20"/>
              <w:left w:val="single" w:sz="4" w:space="0" w:color="231F20"/>
              <w:bottom w:val="single" w:sz="4" w:space="0" w:color="231F20"/>
              <w:right w:val="single" w:sz="4" w:space="0" w:color="231F20"/>
            </w:tcBorders>
            <w:vAlign w:val="center"/>
          </w:tcPr>
          <w:p w14:paraId="27883283"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Individual with “Team Member” rights on PBIS Assessments</w:t>
            </w:r>
          </w:p>
        </w:tc>
        <w:tc>
          <w:tcPr>
            <w:tcW w:w="1530" w:type="dxa"/>
            <w:tcBorders>
              <w:top w:val="single" w:sz="4" w:space="0" w:color="231F20"/>
              <w:left w:val="single" w:sz="4" w:space="0" w:color="231F20"/>
              <w:bottom w:val="single" w:sz="4" w:space="0" w:color="231F20"/>
              <w:right w:val="single" w:sz="4" w:space="0" w:color="231F20"/>
            </w:tcBorders>
            <w:vAlign w:val="center"/>
          </w:tcPr>
          <w:p w14:paraId="2C6725BF" w14:textId="191909EB"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Recommended quarterly until</w:t>
            </w:r>
            <w:r>
              <w:rPr>
                <w:rFonts w:ascii="Minion Pro" w:eastAsia="Minion Pro" w:hAnsi="Minion Pro" w:cs="Minion Pro"/>
                <w:color w:val="231F20"/>
                <w:sz w:val="19"/>
                <w:szCs w:val="19"/>
              </w:rPr>
              <w:t xml:space="preserve"> </w:t>
            </w:r>
            <w:r w:rsidRPr="00B86809">
              <w:rPr>
                <w:rFonts w:ascii="Minion Pro" w:eastAsia="Minion Pro" w:hAnsi="Minion Pro" w:cs="Minion Pro"/>
                <w:color w:val="231F20"/>
                <w:sz w:val="19"/>
                <w:szCs w:val="19"/>
              </w:rPr>
              <w:t>80% achieved three consecutive times</w:t>
            </w:r>
          </w:p>
        </w:tc>
        <w:tc>
          <w:tcPr>
            <w:tcW w:w="8910" w:type="dxa"/>
            <w:tcBorders>
              <w:top w:val="single" w:sz="4" w:space="0" w:color="231F20"/>
              <w:left w:val="single" w:sz="4" w:space="0" w:color="231F20"/>
              <w:bottom w:val="single" w:sz="4" w:space="0" w:color="231F20"/>
              <w:right w:val="single" w:sz="4" w:space="0" w:color="231F20"/>
            </w:tcBorders>
          </w:tcPr>
          <w:p w14:paraId="0C1FE642"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color w:val="231F20"/>
                <w:sz w:val="19"/>
                <w:szCs w:val="19"/>
              </w:rPr>
              <w:t xml:space="preserve">Taken by the team, and informed by a building walk, as well as staff and student interviews. The TFI results are </w:t>
            </w:r>
            <w:proofErr w:type="gramStart"/>
            <w:r w:rsidRPr="00B86809">
              <w:rPr>
                <w:rFonts w:ascii="Minion Pro" w:eastAsia="Minion Pro" w:hAnsi="Minion Pro" w:cs="Minion Pro"/>
                <w:color w:val="231F20"/>
                <w:sz w:val="19"/>
                <w:szCs w:val="19"/>
              </w:rPr>
              <w:t>entered into</w:t>
            </w:r>
            <w:proofErr w:type="gramEnd"/>
            <w:r w:rsidRPr="00B86809">
              <w:rPr>
                <w:rFonts w:ascii="Minion Pro" w:eastAsia="Minion Pro" w:hAnsi="Minion Pro" w:cs="Minion Pro"/>
                <w:color w:val="231F20"/>
                <w:sz w:val="19"/>
                <w:szCs w:val="19"/>
              </w:rPr>
              <w:t xml:space="preserve"> PBIS Assessments by a team member. This survey was designed to replace several PBIS Surveys, including the Benchmarks of Quality (</w:t>
            </w:r>
            <w:proofErr w:type="spellStart"/>
            <w:r w:rsidRPr="00B86809">
              <w:rPr>
                <w:rFonts w:ascii="Minion Pro" w:eastAsia="Minion Pro" w:hAnsi="Minion Pro" w:cs="Minion Pro"/>
                <w:color w:val="231F20"/>
                <w:sz w:val="19"/>
                <w:szCs w:val="19"/>
              </w:rPr>
              <w:t>BoQ</w:t>
            </w:r>
            <w:proofErr w:type="spellEnd"/>
            <w:r w:rsidRPr="00B86809">
              <w:rPr>
                <w:rFonts w:ascii="Minion Pro" w:eastAsia="Minion Pro" w:hAnsi="Minion Pro" w:cs="Minion Pro"/>
                <w:color w:val="231F20"/>
                <w:sz w:val="19"/>
                <w:szCs w:val="19"/>
              </w:rPr>
              <w:t>) and the Benchmark for Advanced Tiers. The TFI is an assessment of various systems that are in place at each of the three tiers.</w:t>
            </w:r>
          </w:p>
        </w:tc>
      </w:tr>
      <w:tr w:rsidR="00523D3A" w:rsidRPr="00B86809" w14:paraId="7CEF7A98" w14:textId="77777777" w:rsidTr="00523D3A">
        <w:trPr>
          <w:trHeight w:hRule="exact" w:val="1081"/>
          <w:jc w:val="center"/>
        </w:trPr>
        <w:tc>
          <w:tcPr>
            <w:tcW w:w="1610" w:type="dxa"/>
            <w:tcBorders>
              <w:top w:val="single" w:sz="4" w:space="0" w:color="231F20"/>
              <w:left w:val="single" w:sz="4" w:space="0" w:color="231F20"/>
              <w:bottom w:val="single" w:sz="4" w:space="0" w:color="231F20"/>
              <w:right w:val="single" w:sz="4" w:space="0" w:color="231F20"/>
            </w:tcBorders>
            <w:vAlign w:val="center"/>
          </w:tcPr>
          <w:p w14:paraId="18CB83FD" w14:textId="77777777" w:rsidR="00523D3A" w:rsidRPr="00B86809" w:rsidRDefault="00523D3A" w:rsidP="00523D3A">
            <w:pPr>
              <w:spacing w:after="0" w:line="240" w:lineRule="auto"/>
              <w:ind w:left="14" w:right="14" w:hanging="1"/>
              <w:jc w:val="center"/>
              <w:rPr>
                <w:rFonts w:ascii="Minion Pro" w:eastAsia="Minion Pro" w:hAnsi="Minion Pro" w:cs="Minion Pro"/>
                <w:sz w:val="19"/>
                <w:szCs w:val="19"/>
              </w:rPr>
            </w:pPr>
            <w:r w:rsidRPr="00B86809">
              <w:rPr>
                <w:rFonts w:ascii="Minion Pro" w:eastAsia="Minion Pro" w:hAnsi="Minion Pro" w:cs="Minion Pro"/>
                <w:i/>
                <w:color w:val="231F20"/>
                <w:sz w:val="19"/>
                <w:szCs w:val="19"/>
              </w:rPr>
              <w:t xml:space="preserve">Schoolwide Evaluation Tool </w:t>
            </w:r>
            <w:r w:rsidRPr="00B86809">
              <w:rPr>
                <w:rFonts w:ascii="Minion Pro" w:eastAsia="Minion Pro" w:hAnsi="Minion Pro" w:cs="Minion Pro"/>
                <w:color w:val="231F20"/>
                <w:sz w:val="19"/>
                <w:szCs w:val="19"/>
              </w:rPr>
              <w:t>(SET)</w:t>
            </w:r>
          </w:p>
        </w:tc>
        <w:tc>
          <w:tcPr>
            <w:tcW w:w="1530" w:type="dxa"/>
            <w:tcBorders>
              <w:top w:val="single" w:sz="4" w:space="0" w:color="231F20"/>
              <w:left w:val="single" w:sz="4" w:space="0" w:color="231F20"/>
              <w:bottom w:val="single" w:sz="4" w:space="0" w:color="231F20"/>
              <w:right w:val="single" w:sz="4" w:space="0" w:color="231F20"/>
            </w:tcBorders>
            <w:vAlign w:val="center"/>
          </w:tcPr>
          <w:p w14:paraId="772D6A87"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Trained SET Evaluator / Regional Consultant</w:t>
            </w:r>
          </w:p>
        </w:tc>
        <w:tc>
          <w:tcPr>
            <w:tcW w:w="1530" w:type="dxa"/>
            <w:tcBorders>
              <w:top w:val="single" w:sz="4" w:space="0" w:color="231F20"/>
              <w:left w:val="single" w:sz="4" w:space="0" w:color="231F20"/>
              <w:bottom w:val="single" w:sz="4" w:space="0" w:color="231F20"/>
              <w:right w:val="single" w:sz="4" w:space="0" w:color="231F20"/>
            </w:tcBorders>
            <w:vAlign w:val="center"/>
          </w:tcPr>
          <w:p w14:paraId="11E3CD85" w14:textId="77777777" w:rsidR="00523D3A" w:rsidRPr="00B86809" w:rsidRDefault="00523D3A" w:rsidP="00523D3A">
            <w:pPr>
              <w:spacing w:after="0" w:line="240" w:lineRule="auto"/>
              <w:ind w:left="14" w:right="14"/>
              <w:jc w:val="center"/>
              <w:rPr>
                <w:rFonts w:ascii="Minion Pro" w:eastAsia="Minion Pro" w:hAnsi="Minion Pro" w:cs="Minion Pro"/>
                <w:sz w:val="19"/>
                <w:szCs w:val="19"/>
              </w:rPr>
            </w:pPr>
            <w:r w:rsidRPr="00B86809">
              <w:rPr>
                <w:rFonts w:ascii="Minion Pro" w:eastAsia="Minion Pro" w:hAnsi="Minion Pro" w:cs="Minion Pro"/>
                <w:color w:val="231F20"/>
                <w:sz w:val="19"/>
                <w:szCs w:val="19"/>
              </w:rPr>
              <w:t>Annually, Following Implementation</w:t>
            </w:r>
          </w:p>
        </w:tc>
        <w:tc>
          <w:tcPr>
            <w:tcW w:w="8910" w:type="dxa"/>
            <w:tcBorders>
              <w:top w:val="single" w:sz="4" w:space="0" w:color="231F20"/>
              <w:left w:val="single" w:sz="4" w:space="0" w:color="231F20"/>
              <w:bottom w:val="single" w:sz="4" w:space="0" w:color="231F20"/>
              <w:right w:val="single" w:sz="4" w:space="0" w:color="231F20"/>
            </w:tcBorders>
          </w:tcPr>
          <w:p w14:paraId="6B5026DA" w14:textId="77777777" w:rsidR="00523D3A" w:rsidRPr="00B86809" w:rsidRDefault="00523D3A" w:rsidP="00523D3A">
            <w:pPr>
              <w:spacing w:after="0" w:line="240" w:lineRule="auto"/>
              <w:ind w:left="75" w:right="84"/>
              <w:rPr>
                <w:rFonts w:ascii="Minion Pro" w:eastAsia="Minion Pro" w:hAnsi="Minion Pro" w:cs="Minion Pro"/>
                <w:sz w:val="19"/>
                <w:szCs w:val="19"/>
              </w:rPr>
            </w:pPr>
            <w:r w:rsidRPr="00B86809">
              <w:rPr>
                <w:rFonts w:ascii="Minion Pro" w:eastAsia="Minion Pro" w:hAnsi="Minion Pro" w:cs="Minion Pro"/>
                <w:color w:val="231F20"/>
                <w:sz w:val="19"/>
                <w:szCs w:val="19"/>
              </w:rPr>
              <w:t>An external review that assesses the fidelity of implementation of SW-PBS essential features. These essential features include expectations defined, expectations taught, rewarding expectations, responding to behavioral violations, decision-making, management and district level support. The SET is a research-validated tool</w:t>
            </w:r>
            <w:r>
              <w:rPr>
                <w:rFonts w:ascii="Minion Pro" w:eastAsia="Minion Pro" w:hAnsi="Minion Pro" w:cs="Minion Pro"/>
                <w:color w:val="231F20"/>
                <w:sz w:val="19"/>
                <w:szCs w:val="19"/>
              </w:rPr>
              <w:t xml:space="preserve"> </w:t>
            </w:r>
            <w:r w:rsidRPr="00B86809">
              <w:rPr>
                <w:rFonts w:ascii="Minion Pro" w:eastAsia="Minion Pro" w:hAnsi="Minion Pro" w:cs="Minion Pro"/>
                <w:color w:val="231F20"/>
                <w:sz w:val="19"/>
                <w:szCs w:val="19"/>
              </w:rPr>
              <w:t>that also provides SW-PBS teams with important feedback, tracks improvement, and monitors SW-PBS</w:t>
            </w:r>
            <w:r>
              <w:rPr>
                <w:rFonts w:ascii="Minion Pro" w:eastAsia="Minion Pro" w:hAnsi="Minion Pro" w:cs="Minion Pro"/>
                <w:color w:val="231F20"/>
                <w:sz w:val="19"/>
                <w:szCs w:val="19"/>
              </w:rPr>
              <w:t xml:space="preserve"> </w:t>
            </w:r>
            <w:r w:rsidRPr="00B86809">
              <w:rPr>
                <w:rFonts w:ascii="Minion Pro" w:eastAsia="Minion Pro" w:hAnsi="Minion Pro" w:cs="Minion Pro"/>
                <w:color w:val="231F20"/>
                <w:sz w:val="19"/>
                <w:szCs w:val="19"/>
              </w:rPr>
              <w:t>sustainability.</w:t>
            </w:r>
          </w:p>
        </w:tc>
      </w:tr>
    </w:tbl>
    <w:p w14:paraId="290EFBC1" w14:textId="77777777" w:rsidR="00063E7E" w:rsidRPr="008B438A" w:rsidRDefault="00063E7E" w:rsidP="008B438A">
      <w:pPr>
        <w:spacing w:after="0"/>
        <w:jc w:val="right"/>
        <w:rPr>
          <w:rFonts w:ascii="Minion Pro" w:hAnsi="Minion Pro"/>
          <w:i/>
          <w:sz w:val="18"/>
        </w:rPr>
      </w:pPr>
    </w:p>
    <w:sectPr w:rsidR="00063E7E" w:rsidRPr="008B438A" w:rsidSect="00523D3A">
      <w:footerReference w:type="default" r:id="rId6"/>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9C25" w14:textId="77777777" w:rsidR="003B37A1" w:rsidRDefault="003B37A1" w:rsidP="000225E0">
      <w:pPr>
        <w:spacing w:after="0" w:line="240" w:lineRule="auto"/>
      </w:pPr>
      <w:r>
        <w:separator/>
      </w:r>
    </w:p>
  </w:endnote>
  <w:endnote w:type="continuationSeparator" w:id="0">
    <w:p w14:paraId="61E6BD64" w14:textId="77777777" w:rsidR="003B37A1" w:rsidRDefault="003B37A1" w:rsidP="0002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0C5A" w14:textId="77777777" w:rsidR="000225E0" w:rsidRDefault="00063E7E">
    <w:pPr>
      <w:pStyle w:val="Footer"/>
    </w:pPr>
    <w:r>
      <w:rPr>
        <w:noProof/>
      </w:rPr>
      <mc:AlternateContent>
        <mc:Choice Requires="wpg">
          <w:drawing>
            <wp:anchor distT="0" distB="0" distL="114300" distR="114300" simplePos="0" relativeHeight="251659264" behindDoc="0" locked="0" layoutInCell="1" allowOverlap="1" wp14:anchorId="52B6916E" wp14:editId="40F61562">
              <wp:simplePos x="0" y="0"/>
              <wp:positionH relativeFrom="page">
                <wp:posOffset>30480</wp:posOffset>
              </wp:positionH>
              <wp:positionV relativeFrom="paragraph">
                <wp:posOffset>-327660</wp:posOffset>
              </wp:positionV>
              <wp:extent cx="10058400" cy="941070"/>
              <wp:effectExtent l="0" t="0" r="0" b="0"/>
              <wp:wrapNone/>
              <wp:docPr id="26" name="Group 26"/>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22" name="Rectangle 22"/>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0" y="365760"/>
                          <a:ext cx="10031730" cy="398780"/>
                        </a:xfrm>
                        <a:prstGeom prst="rect">
                          <a:avLst/>
                        </a:prstGeom>
                        <a:noFill/>
                        <a:ln w="9525">
                          <a:noFill/>
                          <a:miter lim="800000"/>
                          <a:headEnd/>
                          <a:tailEnd/>
                        </a:ln>
                      </wps:spPr>
                      <wps:txbx>
                        <w:txbxContent>
                          <w:p w14:paraId="3B9F2413" w14:textId="77777777" w:rsidR="00063E7E" w:rsidRPr="00D4429D" w:rsidRDefault="00063E7E" w:rsidP="00063E7E">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25" name="Text Box 2"/>
                      <wps:cNvSpPr txBox="1">
                        <a:spLocks noChangeArrowheads="1"/>
                      </wps:cNvSpPr>
                      <wps:spPr bwMode="auto">
                        <a:xfrm>
                          <a:off x="8401050" y="365760"/>
                          <a:ext cx="1482090" cy="398780"/>
                        </a:xfrm>
                        <a:prstGeom prst="rect">
                          <a:avLst/>
                        </a:prstGeom>
                        <a:noFill/>
                        <a:ln w="9525">
                          <a:noFill/>
                          <a:miter lim="800000"/>
                          <a:headEnd/>
                          <a:tailEnd/>
                        </a:ln>
                      </wps:spPr>
                      <wps:txbx>
                        <w:txbxContent>
                          <w:p w14:paraId="6A1023E3" w14:textId="6C52FC88" w:rsidR="00063E7E" w:rsidRPr="00D4429D" w:rsidRDefault="00523D3A" w:rsidP="00063E7E">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52B6916E" id="Group 26" o:spid="_x0000_s1026" style="position:absolute;margin-left:2.4pt;margin-top:-25.8pt;width:11in;height:74.1pt;z-index:251659264;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">
              <v:rect id="Rectangle 22" o:spid="_x0000_s1027"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top:3657;width:100317;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B9F2413" w14:textId="77777777" w:rsidR="00063E7E" w:rsidRPr="00D4429D" w:rsidRDefault="00063E7E" w:rsidP="00063E7E">
                      <w:pPr>
                        <w:jc w:val="center"/>
                        <w:rPr>
                          <w:rFonts w:ascii="Gotham" w:hAnsi="Gotham"/>
                        </w:rPr>
                      </w:pPr>
                      <w:r w:rsidRPr="00D4429D">
                        <w:rPr>
                          <w:rFonts w:ascii="Gotham" w:hAnsi="Gotham"/>
                        </w:rPr>
                        <w:t>MO SW-PBS Tier 1 Workbook</w:t>
                      </w:r>
                    </w:p>
                  </w:txbxContent>
                </v:textbox>
              </v:shape>
              <v:shape id="Text Box 2" o:spid="_x0000_s1030" type="#_x0000_t202" style="position:absolute;left:84010;top:3657;width:1482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A1023E3" w14:textId="6C52FC88" w:rsidR="00063E7E" w:rsidRPr="00D4429D" w:rsidRDefault="00523D3A" w:rsidP="00063E7E">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EF0F" w14:textId="77777777" w:rsidR="003B37A1" w:rsidRDefault="003B37A1" w:rsidP="000225E0">
      <w:pPr>
        <w:spacing w:after="0" w:line="240" w:lineRule="auto"/>
      </w:pPr>
      <w:r>
        <w:separator/>
      </w:r>
    </w:p>
  </w:footnote>
  <w:footnote w:type="continuationSeparator" w:id="0">
    <w:p w14:paraId="7A65ACD4" w14:textId="77777777" w:rsidR="003B37A1" w:rsidRDefault="003B37A1" w:rsidP="00022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E0"/>
    <w:rsid w:val="000225E0"/>
    <w:rsid w:val="00063E7E"/>
    <w:rsid w:val="0033661F"/>
    <w:rsid w:val="003B37A1"/>
    <w:rsid w:val="00523D3A"/>
    <w:rsid w:val="008B438A"/>
    <w:rsid w:val="00D04988"/>
    <w:rsid w:val="00D7403E"/>
    <w:rsid w:val="00E9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3028"/>
  <w15:chartTrackingRefBased/>
  <w15:docId w15:val="{D386B45F-1281-421E-A5C9-F40BBB3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E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5E0"/>
  </w:style>
  <w:style w:type="paragraph" w:styleId="Footer">
    <w:name w:val="footer"/>
    <w:basedOn w:val="Normal"/>
    <w:link w:val="FooterChar"/>
    <w:uiPriority w:val="99"/>
    <w:unhideWhenUsed/>
    <w:rsid w:val="0002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2016-06-03T18:11:00Z</dcterms:created>
  <dcterms:modified xsi:type="dcterms:W3CDTF">2018-04-14T15:01:00Z</dcterms:modified>
</cp:coreProperties>
</file>