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A1" w:rsidRDefault="00153EA1" w:rsidP="00153EA1">
      <w:pPr>
        <w:pStyle w:val="Pa9"/>
        <w:jc w:val="center"/>
        <w:rPr>
          <w:rFonts w:cs="News Gothic Std"/>
          <w:color w:val="221E1F"/>
          <w:sz w:val="28"/>
          <w:szCs w:val="28"/>
        </w:rPr>
      </w:pPr>
      <w:r>
        <w:rPr>
          <w:rFonts w:cs="News Gothic Std"/>
          <w:color w:val="221E1F"/>
          <w:sz w:val="28"/>
          <w:szCs w:val="28"/>
        </w:rPr>
        <w:t>Tier 1 and Tier 2 Analysis for Tier 3 Readiness</w:t>
      </w:r>
    </w:p>
    <w:p w:rsidR="00153EA1" w:rsidRDefault="00153EA1" w:rsidP="00153EA1">
      <w:pPr>
        <w:pStyle w:val="Pa2"/>
        <w:rPr>
          <w:rFonts w:cs="News Gothic Std"/>
          <w:color w:val="221E1F"/>
          <w:sz w:val="28"/>
          <w:szCs w:val="28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8550"/>
      </w:tblGrid>
      <w:tr w:rsidR="00153EA1" w:rsidTr="00E833DB">
        <w:trPr>
          <w:trHeight w:val="368"/>
        </w:trPr>
        <w:tc>
          <w:tcPr>
            <w:tcW w:w="5238" w:type="dxa"/>
            <w:shd w:val="clear" w:color="auto" w:fill="000000" w:themeFill="text1"/>
          </w:tcPr>
          <w:p w:rsidR="00153EA1" w:rsidRDefault="00153EA1" w:rsidP="00C6336A">
            <w:pPr>
              <w:pStyle w:val="Pa2"/>
              <w:rPr>
                <w:rFonts w:ascii="Minion Pro SmBd" w:hAnsi="Minion Pro SmBd" w:cs="Minion Pro SmBd"/>
                <w:color w:val="FFFFFF"/>
                <w:sz w:val="22"/>
                <w:szCs w:val="22"/>
              </w:rPr>
            </w:pPr>
            <w:r>
              <w:rPr>
                <w:rFonts w:ascii="Minion Pro SmBd" w:hAnsi="Minion Pro SmBd" w:cs="Minion Pro SmBd"/>
                <w:b/>
                <w:bCs/>
                <w:color w:val="FFFFFF"/>
                <w:sz w:val="22"/>
                <w:szCs w:val="22"/>
              </w:rPr>
              <w:t>TIER 3 READINESS GUIDELINE</w:t>
            </w:r>
          </w:p>
        </w:tc>
        <w:tc>
          <w:tcPr>
            <w:tcW w:w="8550" w:type="dxa"/>
            <w:shd w:val="clear" w:color="auto" w:fill="000000" w:themeFill="text1"/>
          </w:tcPr>
          <w:p w:rsidR="00153EA1" w:rsidRDefault="00153EA1" w:rsidP="00C6336A">
            <w:pPr>
              <w:pStyle w:val="Pa2"/>
              <w:rPr>
                <w:rFonts w:ascii="Minion Pro SmBd" w:hAnsi="Minion Pro SmBd" w:cs="Minion Pro SmBd"/>
                <w:color w:val="FFFFFF"/>
                <w:sz w:val="22"/>
                <w:szCs w:val="22"/>
              </w:rPr>
            </w:pPr>
            <w:r>
              <w:rPr>
                <w:rFonts w:ascii="Minion Pro SmBd" w:hAnsi="Minion Pro SmBd" w:cs="Minion Pro SmBd"/>
                <w:b/>
                <w:bCs/>
                <w:color w:val="FFFFFF"/>
                <w:sz w:val="22"/>
                <w:szCs w:val="22"/>
              </w:rPr>
              <w:t>DOCUMENTATION/NOTES:</w:t>
            </w:r>
          </w:p>
        </w:tc>
      </w:tr>
      <w:tr w:rsidR="00153EA1" w:rsidTr="00E833DB">
        <w:trPr>
          <w:trHeight w:val="1430"/>
        </w:trPr>
        <w:tc>
          <w:tcPr>
            <w:tcW w:w="5238" w:type="dxa"/>
          </w:tcPr>
          <w:p w:rsid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 xml:space="preserve">Schoolwide Evaluation Tool (SET) Score of 80/80 </w:t>
            </w:r>
          </w:p>
          <w:p w:rsid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OR</w:t>
            </w:r>
          </w:p>
          <w:p w:rsid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Benchmarks of Quality (</w:t>
            </w:r>
            <w:proofErr w:type="spellStart"/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BoQ</w:t>
            </w:r>
            <w:proofErr w:type="spellEnd"/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) of 80% or higher within the last 12 months.</w:t>
            </w:r>
          </w:p>
        </w:tc>
        <w:tc>
          <w:tcPr>
            <w:tcW w:w="8550" w:type="dxa"/>
          </w:tcPr>
          <w:p w:rsidR="00153EA1" w:rsidRP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12"/>
                <w:szCs w:val="12"/>
              </w:rPr>
            </w:pPr>
          </w:p>
          <w:p w:rsid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Score and date ________________________    80% Criteria met?       Yes          No</w:t>
            </w:r>
          </w:p>
          <w:p w:rsid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</w:p>
          <w:p w:rsid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Notes for increasing fidelity based upon results:</w:t>
            </w:r>
          </w:p>
        </w:tc>
      </w:tr>
      <w:tr w:rsidR="00153EA1" w:rsidTr="00E833DB">
        <w:trPr>
          <w:trHeight w:val="1970"/>
        </w:trPr>
        <w:tc>
          <w:tcPr>
            <w:tcW w:w="5238" w:type="dxa"/>
          </w:tcPr>
          <w:p w:rsid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Self-Assessment Survey (SAS)/Effective Behavior Support Survey (EBS) results indicate current status of 80% or more features in place for:</w:t>
            </w:r>
          </w:p>
          <w:p w:rsidR="00153EA1" w:rsidRDefault="00153EA1" w:rsidP="00C6336A">
            <w:pPr>
              <w:pStyle w:val="Pa14"/>
              <w:ind w:hanging="260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Style w:val="A7"/>
                <w:rFonts w:ascii="Minion Pro" w:hAnsi="Minion Pro" w:cs="Minion Pro"/>
                <w:color w:val="221E1F"/>
                <w:sz w:val="22"/>
                <w:szCs w:val="22"/>
              </w:rPr>
              <w:t>•</w:t>
            </w:r>
            <w:r>
              <w:rPr>
                <w:rStyle w:val="A7"/>
                <w:rFonts w:ascii="Minion Pro" w:hAnsi="Minion Pro" w:cs="Minion Pro"/>
                <w:color w:val="221E1F"/>
                <w:sz w:val="22"/>
                <w:szCs w:val="22"/>
              </w:rPr>
              <w:tab/>
            </w: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Schoolwide Systems</w:t>
            </w:r>
          </w:p>
          <w:p w:rsidR="00153EA1" w:rsidRDefault="00153EA1" w:rsidP="00C6336A">
            <w:pPr>
              <w:pStyle w:val="Pa14"/>
              <w:ind w:hanging="260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Style w:val="A7"/>
                <w:rFonts w:ascii="Minion Pro" w:hAnsi="Minion Pro" w:cs="Minion Pro"/>
                <w:color w:val="221E1F"/>
                <w:sz w:val="22"/>
                <w:szCs w:val="22"/>
              </w:rPr>
              <w:t>•</w:t>
            </w:r>
            <w:r>
              <w:rPr>
                <w:rStyle w:val="A7"/>
                <w:rFonts w:ascii="Minion Pro" w:hAnsi="Minion Pro" w:cs="Minion Pro"/>
                <w:color w:val="221E1F"/>
                <w:sz w:val="22"/>
                <w:szCs w:val="22"/>
              </w:rPr>
              <w:tab/>
            </w:r>
            <w:proofErr w:type="spellStart"/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Nonclassroom</w:t>
            </w:r>
            <w:proofErr w:type="spellEnd"/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 xml:space="preserve"> Setting Systems</w:t>
            </w:r>
          </w:p>
          <w:p w:rsidR="00153EA1" w:rsidRDefault="00153EA1" w:rsidP="00C6336A">
            <w:pPr>
              <w:pStyle w:val="Pa14"/>
              <w:ind w:hanging="260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Style w:val="A7"/>
                <w:rFonts w:ascii="Minion Pro" w:hAnsi="Minion Pro" w:cs="Minion Pro"/>
                <w:color w:val="221E1F"/>
                <w:sz w:val="22"/>
                <w:szCs w:val="22"/>
              </w:rPr>
              <w:t>•</w:t>
            </w:r>
            <w:r>
              <w:rPr>
                <w:rStyle w:val="A7"/>
                <w:rFonts w:ascii="Minion Pro" w:hAnsi="Minion Pro" w:cs="Minion Pro"/>
                <w:color w:val="221E1F"/>
                <w:sz w:val="22"/>
                <w:szCs w:val="22"/>
              </w:rPr>
              <w:tab/>
            </w: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Classroom Systems.</w:t>
            </w:r>
          </w:p>
        </w:tc>
        <w:tc>
          <w:tcPr>
            <w:tcW w:w="8550" w:type="dxa"/>
          </w:tcPr>
          <w:p w:rsidR="00153EA1" w:rsidRPr="00153EA1" w:rsidRDefault="00153EA1" w:rsidP="00153EA1">
            <w:pPr>
              <w:pStyle w:val="Pa2"/>
              <w:rPr>
                <w:rFonts w:ascii="Minion Pro" w:hAnsi="Minion Pro" w:cs="Minion Pro"/>
                <w:color w:val="221E1F"/>
                <w:sz w:val="12"/>
                <w:szCs w:val="12"/>
              </w:rPr>
            </w:pPr>
          </w:p>
          <w:p w:rsid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Score and date ________________________    80% Criteria met?       Yes          No</w:t>
            </w:r>
          </w:p>
          <w:p w:rsid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</w:p>
          <w:p w:rsid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Notes for increasing fidelity based upon results:</w:t>
            </w:r>
          </w:p>
        </w:tc>
      </w:tr>
      <w:tr w:rsidR="00153EA1" w:rsidTr="00E833DB">
        <w:trPr>
          <w:trHeight w:val="1610"/>
        </w:trPr>
        <w:tc>
          <w:tcPr>
            <w:tcW w:w="5238" w:type="dxa"/>
          </w:tcPr>
          <w:p w:rsid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Office Referral Data (ODR) indicate 80% of students in the 0-1 referral range.</w:t>
            </w:r>
          </w:p>
        </w:tc>
        <w:tc>
          <w:tcPr>
            <w:tcW w:w="8550" w:type="dxa"/>
          </w:tcPr>
          <w:p w:rsidR="00153EA1" w:rsidRPr="00153EA1" w:rsidRDefault="00153EA1" w:rsidP="00153EA1">
            <w:pPr>
              <w:pStyle w:val="Pa2"/>
              <w:rPr>
                <w:rFonts w:ascii="Minion Pro" w:hAnsi="Minion Pro" w:cs="Minion Pro"/>
                <w:color w:val="221E1F"/>
                <w:sz w:val="12"/>
                <w:szCs w:val="12"/>
              </w:rPr>
            </w:pPr>
          </w:p>
          <w:p w:rsid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Percentage in 0-1 range _________________    80% Criteria met?       Yes          No</w:t>
            </w:r>
          </w:p>
          <w:p w:rsid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</w:p>
          <w:p w:rsid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Notes for increasing fidelity based upon results:</w:t>
            </w:r>
          </w:p>
        </w:tc>
      </w:tr>
      <w:tr w:rsidR="00153EA1" w:rsidTr="00E833DB">
        <w:trPr>
          <w:trHeight w:val="1430"/>
        </w:trPr>
        <w:tc>
          <w:tcPr>
            <w:tcW w:w="5238" w:type="dxa"/>
          </w:tcPr>
          <w:p w:rsid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Data demonstrates reduction in classroom minor referrals over at least a one year period.</w:t>
            </w:r>
          </w:p>
        </w:tc>
        <w:tc>
          <w:tcPr>
            <w:tcW w:w="8550" w:type="dxa"/>
          </w:tcPr>
          <w:p w:rsidR="00153EA1" w:rsidRPr="00153EA1" w:rsidRDefault="00153EA1" w:rsidP="00153EA1">
            <w:pPr>
              <w:pStyle w:val="Pa2"/>
              <w:rPr>
                <w:rFonts w:ascii="Minion Pro" w:hAnsi="Minion Pro" w:cs="Minion Pro"/>
                <w:color w:val="221E1F"/>
                <w:sz w:val="12"/>
                <w:szCs w:val="12"/>
              </w:rPr>
            </w:pPr>
          </w:p>
          <w:p w:rsid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Classroom Minor Referrals collected?         Yes             No</w:t>
            </w:r>
          </w:p>
          <w:p w:rsid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</w:p>
          <w:p w:rsid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If Yes:     Number of previous year’s  Classroom Minors  ___________</w:t>
            </w:r>
          </w:p>
          <w:p w:rsid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 xml:space="preserve">If No:      Add to your Action Plan steps to begin Classroom Minor data collection </w:t>
            </w:r>
          </w:p>
          <w:p w:rsidR="00153EA1" w:rsidRPr="00153EA1" w:rsidRDefault="00153EA1" w:rsidP="00153EA1">
            <w:pPr>
              <w:pStyle w:val="Default"/>
            </w:pPr>
          </w:p>
        </w:tc>
      </w:tr>
      <w:tr w:rsidR="00153EA1" w:rsidTr="00E833DB">
        <w:trPr>
          <w:trHeight w:val="1682"/>
        </w:trPr>
        <w:tc>
          <w:tcPr>
            <w:tcW w:w="5238" w:type="dxa"/>
          </w:tcPr>
          <w:p w:rsid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Consistent use of schoolwide data for making decisions as evidenced by monthly Big 5 data reports.</w:t>
            </w:r>
          </w:p>
        </w:tc>
        <w:tc>
          <w:tcPr>
            <w:tcW w:w="8550" w:type="dxa"/>
          </w:tcPr>
          <w:p w:rsidR="00153EA1" w:rsidRPr="00153EA1" w:rsidRDefault="00153EA1" w:rsidP="00153EA1">
            <w:pPr>
              <w:pStyle w:val="Pa2"/>
              <w:rPr>
                <w:rFonts w:ascii="Minion Pro" w:hAnsi="Minion Pro" w:cs="Minion Pro"/>
                <w:color w:val="221E1F"/>
                <w:sz w:val="12"/>
                <w:szCs w:val="12"/>
              </w:rPr>
            </w:pPr>
          </w:p>
          <w:p w:rsid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Big 5 used monthly for decision-making?           Yes              No</w:t>
            </w:r>
          </w:p>
          <w:p w:rsid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</w:p>
          <w:p w:rsid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Notes for increasing fidelity:</w:t>
            </w:r>
          </w:p>
        </w:tc>
      </w:tr>
    </w:tbl>
    <w:p w:rsidR="00E833DB" w:rsidRDefault="00E833DB" w:rsidP="00C6336A">
      <w:pPr>
        <w:pStyle w:val="Pa2"/>
        <w:tabs>
          <w:tab w:val="left" w:pos="4878"/>
        </w:tabs>
        <w:rPr>
          <w:rFonts w:ascii="Minion Pro SmBd" w:hAnsi="Minion Pro SmBd" w:cs="Minion Pro SmBd"/>
          <w:b/>
          <w:bCs/>
          <w:color w:val="FFFFFF"/>
          <w:sz w:val="22"/>
          <w:szCs w:val="22"/>
        </w:rPr>
      </w:pPr>
    </w:p>
    <w:p w:rsidR="00E833DB" w:rsidRDefault="00E833DB" w:rsidP="00E833DB">
      <w:pPr>
        <w:pStyle w:val="Default"/>
      </w:pPr>
      <w:r>
        <w:br w:type="page"/>
      </w:r>
    </w:p>
    <w:p w:rsidR="00153EA1" w:rsidRDefault="00153EA1" w:rsidP="00C6336A">
      <w:pPr>
        <w:pStyle w:val="Pa2"/>
        <w:tabs>
          <w:tab w:val="left" w:pos="4878"/>
        </w:tabs>
        <w:rPr>
          <w:rFonts w:ascii="Minion Pro SmBd" w:hAnsi="Minion Pro SmBd" w:cs="Minion Pro SmBd"/>
          <w:b/>
          <w:bCs/>
          <w:color w:val="FFFFFF"/>
          <w:sz w:val="22"/>
          <w:szCs w:val="22"/>
        </w:rPr>
      </w:pPr>
      <w:r>
        <w:rPr>
          <w:rFonts w:ascii="Minion Pro SmBd" w:hAnsi="Minion Pro SmBd" w:cs="Minion Pro SmBd"/>
          <w:b/>
          <w:bCs/>
          <w:color w:val="FFFFFF"/>
          <w:sz w:val="22"/>
          <w:szCs w:val="22"/>
        </w:rPr>
        <w:lastRenderedPageBreak/>
        <w:tab/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8550"/>
      </w:tblGrid>
      <w:tr w:rsidR="00153EA1" w:rsidTr="00E833DB">
        <w:trPr>
          <w:trHeight w:val="350"/>
        </w:trPr>
        <w:tc>
          <w:tcPr>
            <w:tcW w:w="5238" w:type="dxa"/>
            <w:shd w:val="clear" w:color="auto" w:fill="000000" w:themeFill="text1"/>
          </w:tcPr>
          <w:p w:rsidR="00153EA1" w:rsidRDefault="00153EA1" w:rsidP="00C6336A">
            <w:pPr>
              <w:pStyle w:val="Pa2"/>
              <w:rPr>
                <w:rFonts w:ascii="Minion Pro SmBd" w:hAnsi="Minion Pro SmBd" w:cs="Minion Pro SmBd"/>
                <w:color w:val="FFFFFF"/>
                <w:sz w:val="22"/>
                <w:szCs w:val="22"/>
              </w:rPr>
            </w:pPr>
            <w:r>
              <w:rPr>
                <w:rFonts w:ascii="Minion Pro SmBd" w:hAnsi="Minion Pro SmBd" w:cs="Minion Pro SmBd"/>
                <w:b/>
                <w:bCs/>
                <w:color w:val="FFFFFF"/>
                <w:sz w:val="22"/>
                <w:szCs w:val="22"/>
              </w:rPr>
              <w:t>TIER 3 READINESS GUIDELINE</w:t>
            </w:r>
          </w:p>
        </w:tc>
        <w:tc>
          <w:tcPr>
            <w:tcW w:w="8550" w:type="dxa"/>
            <w:shd w:val="clear" w:color="auto" w:fill="000000" w:themeFill="text1"/>
          </w:tcPr>
          <w:p w:rsidR="00153EA1" w:rsidRDefault="00153EA1" w:rsidP="00C6336A">
            <w:pPr>
              <w:pStyle w:val="Pa2"/>
              <w:rPr>
                <w:rFonts w:ascii="Minion Pro SmBd" w:hAnsi="Minion Pro SmBd" w:cs="Minion Pro SmBd"/>
                <w:color w:val="FFFFFF"/>
                <w:sz w:val="22"/>
                <w:szCs w:val="22"/>
              </w:rPr>
            </w:pPr>
            <w:r>
              <w:rPr>
                <w:rFonts w:ascii="Minion Pro SmBd" w:hAnsi="Minion Pro SmBd" w:cs="Minion Pro SmBd"/>
                <w:b/>
                <w:bCs/>
                <w:color w:val="FFFFFF"/>
                <w:sz w:val="22"/>
                <w:szCs w:val="22"/>
              </w:rPr>
              <w:t>DOCUMENTATION/NOTES:</w:t>
            </w:r>
          </w:p>
        </w:tc>
      </w:tr>
      <w:tr w:rsidR="00153EA1" w:rsidTr="00E833DB">
        <w:trPr>
          <w:trHeight w:val="5300"/>
        </w:trPr>
        <w:tc>
          <w:tcPr>
            <w:tcW w:w="5238" w:type="dxa"/>
          </w:tcPr>
          <w:p w:rsid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Documentation of:</w:t>
            </w:r>
          </w:p>
          <w:p w:rsidR="00E833DB" w:rsidRPr="00E833DB" w:rsidRDefault="00E833DB" w:rsidP="00E833DB">
            <w:pPr>
              <w:pStyle w:val="Default"/>
            </w:pPr>
            <w:bookmarkStart w:id="0" w:name="_GoBack"/>
            <w:bookmarkEnd w:id="0"/>
          </w:p>
          <w:p w:rsidR="00153EA1" w:rsidRDefault="00153EA1" w:rsidP="00613EB5">
            <w:pPr>
              <w:pStyle w:val="Pa20"/>
              <w:numPr>
                <w:ilvl w:val="0"/>
                <w:numId w:val="1"/>
              </w:numPr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Standard system for identifying students for Tier 2 supports</w:t>
            </w:r>
          </w:p>
          <w:p w:rsidR="00613EB5" w:rsidRPr="00613EB5" w:rsidRDefault="00613EB5" w:rsidP="00613EB5">
            <w:pPr>
              <w:pStyle w:val="Default"/>
            </w:pPr>
          </w:p>
          <w:p w:rsidR="00153EA1" w:rsidRDefault="00153EA1" w:rsidP="00613EB5">
            <w:pPr>
              <w:pStyle w:val="Pa20"/>
              <w:numPr>
                <w:ilvl w:val="0"/>
                <w:numId w:val="1"/>
              </w:numPr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Process to identify function of behavior and match intervention to the function</w:t>
            </w:r>
          </w:p>
          <w:p w:rsidR="00613EB5" w:rsidRPr="00613EB5" w:rsidRDefault="00613EB5" w:rsidP="00613EB5">
            <w:pPr>
              <w:pStyle w:val="Default"/>
              <w:numPr>
                <w:ilvl w:val="0"/>
                <w:numId w:val="1"/>
              </w:numPr>
            </w:pPr>
          </w:p>
          <w:p w:rsidR="00153EA1" w:rsidRDefault="00153EA1" w:rsidP="00613EB5">
            <w:pPr>
              <w:pStyle w:val="Pa20"/>
              <w:numPr>
                <w:ilvl w:val="0"/>
                <w:numId w:val="1"/>
              </w:numPr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At least one research-based small-group and/or targeted behavioral intervention is fully implemented.  If only one is fully implemented, the second intervention has been piloted and plans are in place for full implementation.</w:t>
            </w:r>
          </w:p>
          <w:p w:rsidR="00613EB5" w:rsidRPr="00613EB5" w:rsidRDefault="00613EB5" w:rsidP="00613EB5">
            <w:pPr>
              <w:pStyle w:val="Default"/>
              <w:numPr>
                <w:ilvl w:val="0"/>
                <w:numId w:val="1"/>
              </w:numPr>
            </w:pPr>
          </w:p>
          <w:p w:rsidR="00153EA1" w:rsidRDefault="00153EA1" w:rsidP="00C6336A">
            <w:pPr>
              <w:pStyle w:val="Pa20"/>
              <w:ind w:hanging="360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Style w:val="A7"/>
                <w:rFonts w:ascii="Minion Pro" w:hAnsi="Minion Pro" w:cs="Minion Pro"/>
                <w:color w:val="221E1F"/>
                <w:sz w:val="22"/>
                <w:szCs w:val="22"/>
              </w:rPr>
              <w:t>4.</w:t>
            </w:r>
            <w:r>
              <w:rPr>
                <w:rStyle w:val="A7"/>
                <w:rFonts w:ascii="Minion Pro" w:hAnsi="Minion Pro" w:cs="Minion Pro"/>
                <w:color w:val="221E1F"/>
                <w:sz w:val="22"/>
                <w:szCs w:val="22"/>
              </w:rPr>
              <w:tab/>
            </w: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Staff has received training for implementation of interventions</w:t>
            </w:r>
          </w:p>
          <w:p w:rsidR="00613EB5" w:rsidRPr="00613EB5" w:rsidRDefault="00613EB5" w:rsidP="00613EB5">
            <w:pPr>
              <w:pStyle w:val="Default"/>
            </w:pPr>
          </w:p>
          <w:p w:rsidR="00153EA1" w:rsidRDefault="00153EA1" w:rsidP="00613EB5">
            <w:pPr>
              <w:pStyle w:val="Pa20"/>
              <w:numPr>
                <w:ilvl w:val="0"/>
                <w:numId w:val="1"/>
              </w:numPr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Use individual student data for making decisions about when to continue, intensify, change, or fade intervention</w:t>
            </w:r>
          </w:p>
          <w:p w:rsidR="00613EB5" w:rsidRPr="00613EB5" w:rsidRDefault="00613EB5" w:rsidP="00613EB5">
            <w:pPr>
              <w:pStyle w:val="Default"/>
              <w:numPr>
                <w:ilvl w:val="0"/>
                <w:numId w:val="1"/>
              </w:numPr>
            </w:pPr>
          </w:p>
          <w:p w:rsidR="00153EA1" w:rsidRDefault="00153EA1" w:rsidP="00C6336A">
            <w:pPr>
              <w:pStyle w:val="Pa20"/>
              <w:ind w:hanging="360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Style w:val="A7"/>
                <w:rFonts w:ascii="Minion Pro" w:hAnsi="Minion Pro" w:cs="Minion Pro"/>
                <w:color w:val="221E1F"/>
                <w:sz w:val="22"/>
                <w:szCs w:val="22"/>
              </w:rPr>
              <w:t>6.</w:t>
            </w:r>
            <w:r>
              <w:rPr>
                <w:rStyle w:val="A7"/>
                <w:rFonts w:ascii="Minion Pro" w:hAnsi="Minion Pro" w:cs="Minion Pro"/>
                <w:color w:val="221E1F"/>
                <w:sz w:val="22"/>
                <w:szCs w:val="22"/>
              </w:rPr>
              <w:tab/>
            </w: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Family members are informed of the Tier 2 process and regularly updated about child’s progress</w:t>
            </w:r>
          </w:p>
        </w:tc>
        <w:tc>
          <w:tcPr>
            <w:tcW w:w="8550" w:type="dxa"/>
          </w:tcPr>
          <w:p w:rsidR="00153EA1" w:rsidRPr="00153EA1" w:rsidRDefault="00153EA1" w:rsidP="00153EA1">
            <w:pPr>
              <w:pStyle w:val="Pa2"/>
              <w:rPr>
                <w:rFonts w:ascii="Minion Pro" w:hAnsi="Minion Pro" w:cs="Minion Pro"/>
                <w:color w:val="221E1F"/>
                <w:sz w:val="12"/>
                <w:szCs w:val="12"/>
              </w:rPr>
            </w:pPr>
          </w:p>
          <w:p w:rsid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Which are in place, in use, and documented?  #’s_____________________________</w:t>
            </w:r>
          </w:p>
          <w:p w:rsid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</w:p>
          <w:p w:rsid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Instrument(s) consistently used:</w:t>
            </w:r>
          </w:p>
          <w:p w:rsid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____ Intervention Planning Guide</w:t>
            </w:r>
          </w:p>
          <w:p w:rsid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____ Advanced Tier Data Collection Spreadsheet</w:t>
            </w:r>
          </w:p>
          <w:p w:rsid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____Adapted FACTS Part A</w:t>
            </w:r>
          </w:p>
          <w:p w:rsid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____ Other</w:t>
            </w:r>
          </w:p>
          <w:p w:rsid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</w:p>
          <w:p w:rsid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Notes for increasing fidelity:</w:t>
            </w:r>
          </w:p>
        </w:tc>
      </w:tr>
      <w:tr w:rsidR="00153EA1" w:rsidTr="00E833DB">
        <w:trPr>
          <w:trHeight w:val="3140"/>
        </w:trPr>
        <w:tc>
          <w:tcPr>
            <w:tcW w:w="5238" w:type="dxa"/>
          </w:tcPr>
          <w:p w:rsid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Administrator and core group of staff who will serve on Tier 3 team:</w:t>
            </w:r>
          </w:p>
          <w:p w:rsidR="00E833DB" w:rsidRPr="00E833DB" w:rsidRDefault="00E833DB" w:rsidP="00E833DB">
            <w:pPr>
              <w:pStyle w:val="Default"/>
            </w:pPr>
          </w:p>
          <w:p w:rsidR="00153EA1" w:rsidRDefault="00153EA1" w:rsidP="00C6336A">
            <w:pPr>
              <w:pStyle w:val="Pa14"/>
              <w:ind w:hanging="260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Style w:val="A7"/>
                <w:rFonts w:ascii="Minion Pro" w:hAnsi="Minion Pro" w:cs="Minion Pro"/>
                <w:color w:val="221E1F"/>
                <w:sz w:val="22"/>
                <w:szCs w:val="22"/>
              </w:rPr>
              <w:t>•</w:t>
            </w:r>
            <w:r>
              <w:rPr>
                <w:rStyle w:val="A7"/>
                <w:rFonts w:ascii="Minion Pro" w:hAnsi="Minion Pro" w:cs="Minion Pro"/>
                <w:color w:val="221E1F"/>
                <w:sz w:val="22"/>
                <w:szCs w:val="22"/>
              </w:rPr>
              <w:tab/>
            </w: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Determine a core group of team members who will  attend trainings (i.e. administrator, member with behavioral expertise, member with academic expertise)</w:t>
            </w:r>
          </w:p>
          <w:p w:rsidR="00E833DB" w:rsidRPr="00E833DB" w:rsidRDefault="00E833DB" w:rsidP="00E833DB">
            <w:pPr>
              <w:pStyle w:val="Default"/>
            </w:pPr>
          </w:p>
          <w:p w:rsidR="00153EA1" w:rsidRDefault="00153EA1" w:rsidP="00E833DB">
            <w:pPr>
              <w:pStyle w:val="Pa14"/>
              <w:numPr>
                <w:ilvl w:val="0"/>
                <w:numId w:val="2"/>
              </w:numPr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At least one member with behavioral expertise</w:t>
            </w:r>
          </w:p>
          <w:p w:rsidR="00153EA1" w:rsidRDefault="00153EA1" w:rsidP="00E833DB">
            <w:pPr>
              <w:pStyle w:val="Pa14"/>
              <w:numPr>
                <w:ilvl w:val="0"/>
                <w:numId w:val="2"/>
              </w:numPr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At least one member with academic expertise</w:t>
            </w:r>
          </w:p>
          <w:p w:rsidR="00153EA1" w:rsidRDefault="00153EA1" w:rsidP="00E833DB">
            <w:pPr>
              <w:pStyle w:val="Pa14"/>
              <w:numPr>
                <w:ilvl w:val="0"/>
                <w:numId w:val="2"/>
              </w:numPr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Crossover membership for Tier 2 team</w:t>
            </w:r>
          </w:p>
          <w:p w:rsidR="00153EA1" w:rsidRDefault="00153EA1" w:rsidP="00E833DB">
            <w:pPr>
              <w:pStyle w:val="Pa14"/>
              <w:numPr>
                <w:ilvl w:val="0"/>
                <w:numId w:val="2"/>
              </w:numPr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Access to district level support</w:t>
            </w:r>
          </w:p>
        </w:tc>
        <w:tc>
          <w:tcPr>
            <w:tcW w:w="8550" w:type="dxa"/>
          </w:tcPr>
          <w:p w:rsidR="00153EA1" w:rsidRPr="00153EA1" w:rsidRDefault="00153EA1" w:rsidP="00153EA1">
            <w:pPr>
              <w:pStyle w:val="Pa2"/>
              <w:rPr>
                <w:rFonts w:ascii="Minion Pro" w:hAnsi="Minion Pro" w:cs="Minion Pro"/>
                <w:color w:val="221E1F"/>
                <w:sz w:val="12"/>
                <w:szCs w:val="12"/>
              </w:rPr>
            </w:pPr>
          </w:p>
          <w:p w:rsid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Are all Tier 3 team members in place?      Yes           No</w:t>
            </w:r>
          </w:p>
          <w:p w:rsid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</w:p>
          <w:p w:rsid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If Yes, who is the core group?  Who will attend trainings?</w:t>
            </w:r>
          </w:p>
          <w:p w:rsidR="00153EA1" w:rsidRDefault="00153EA1" w:rsidP="00C6336A">
            <w:pPr>
              <w:pStyle w:val="Pa2"/>
              <w:rPr>
                <w:rFonts w:ascii="Minion Pro" w:hAnsi="Minion Pro" w:cs="Minion Pro"/>
                <w:color w:val="221E1F"/>
                <w:sz w:val="22"/>
                <w:szCs w:val="22"/>
              </w:rPr>
            </w:pPr>
            <w:r>
              <w:rPr>
                <w:rFonts w:ascii="Minion Pro" w:hAnsi="Minion Pro" w:cs="Minion Pro"/>
                <w:color w:val="221E1F"/>
                <w:sz w:val="22"/>
                <w:szCs w:val="22"/>
              </w:rPr>
              <w:t>If No, what positions are missing and who will fill them?</w:t>
            </w:r>
          </w:p>
        </w:tc>
      </w:tr>
    </w:tbl>
    <w:p w:rsidR="008644E8" w:rsidRPr="00153EA1" w:rsidRDefault="008644E8" w:rsidP="00153EA1"/>
    <w:sectPr w:rsidR="008644E8" w:rsidRPr="00153EA1" w:rsidSect="00E833DB">
      <w:footerReference w:type="default" r:id="rId7"/>
      <w:pgSz w:w="15840" w:h="12240" w:orient="landscape"/>
      <w:pgMar w:top="720" w:right="720" w:bottom="720" w:left="720" w:header="720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75A" w:rsidRDefault="0093475A" w:rsidP="00C361BC">
      <w:pPr>
        <w:spacing w:after="0" w:line="240" w:lineRule="auto"/>
      </w:pPr>
      <w:r>
        <w:separator/>
      </w:r>
    </w:p>
  </w:endnote>
  <w:endnote w:type="continuationSeparator" w:id="0">
    <w:p w:rsidR="0093475A" w:rsidRDefault="0093475A" w:rsidP="00C3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SmB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F8E" w:rsidRDefault="00E41F8E" w:rsidP="00E41F8E">
    <w:pPr>
      <w:pStyle w:val="Footer"/>
      <w:jc w:val="center"/>
    </w:pPr>
    <w:r>
      <w:rPr>
        <w:rFonts w:ascii="News Gothic Std" w:hAnsi="News Gothic Std" w:cs="News Gothic Std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3ADE7D7" wp14:editId="41A3E0C6">
          <wp:simplePos x="0" y="0"/>
          <wp:positionH relativeFrom="column">
            <wp:posOffset>0</wp:posOffset>
          </wp:positionH>
          <wp:positionV relativeFrom="paragraph">
            <wp:posOffset>-205740</wp:posOffset>
          </wp:positionV>
          <wp:extent cx="723900" cy="622591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22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MO SW-PBS Tier 3 Workbook                                                                           April 14, 2014</w:t>
    </w:r>
  </w:p>
  <w:p w:rsidR="00C361BC" w:rsidRPr="00C361BC" w:rsidRDefault="00C361BC" w:rsidP="00C361BC">
    <w:pPr>
      <w:pStyle w:val="BasicParagraph"/>
      <w:rPr>
        <w:rFonts w:ascii="News Gothic Std" w:hAnsi="News Gothic Std" w:cs="News Gothic St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75A" w:rsidRDefault="0093475A" w:rsidP="00C361BC">
      <w:pPr>
        <w:spacing w:after="0" w:line="240" w:lineRule="auto"/>
      </w:pPr>
      <w:r>
        <w:separator/>
      </w:r>
    </w:p>
  </w:footnote>
  <w:footnote w:type="continuationSeparator" w:id="0">
    <w:p w:rsidR="0093475A" w:rsidRDefault="0093475A" w:rsidP="00C36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51137"/>
    <w:multiLevelType w:val="hybridMultilevel"/>
    <w:tmpl w:val="6E1464A2"/>
    <w:lvl w:ilvl="0" w:tplc="3468D832">
      <w:numFmt w:val="bullet"/>
      <w:lvlText w:val="•"/>
      <w:lvlJc w:val="left"/>
      <w:pPr>
        <w:ind w:left="100" w:hanging="360"/>
      </w:pPr>
      <w:rPr>
        <w:rFonts w:ascii="Minion Pro" w:eastAsiaTheme="minorEastAsia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</w:abstractNum>
  <w:abstractNum w:abstractNumId="1">
    <w:nsid w:val="2FEA50F1"/>
    <w:multiLevelType w:val="hybridMultilevel"/>
    <w:tmpl w:val="AE28D89C"/>
    <w:lvl w:ilvl="0" w:tplc="6D7EEE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5CD06A24"/>
    <w:multiLevelType w:val="hybridMultilevel"/>
    <w:tmpl w:val="4684AD2C"/>
    <w:lvl w:ilvl="0" w:tplc="0409000D">
      <w:start w:val="1"/>
      <w:numFmt w:val="bullet"/>
      <w:lvlText w:val=""/>
      <w:lvlJc w:val="left"/>
      <w:pPr>
        <w:ind w:left="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A1"/>
    <w:rsid w:val="00153EA1"/>
    <w:rsid w:val="003D1C6E"/>
    <w:rsid w:val="00412BA4"/>
    <w:rsid w:val="00613EB5"/>
    <w:rsid w:val="007661DD"/>
    <w:rsid w:val="00853B2B"/>
    <w:rsid w:val="008644E8"/>
    <w:rsid w:val="0093475A"/>
    <w:rsid w:val="00937E9A"/>
    <w:rsid w:val="00A97CFB"/>
    <w:rsid w:val="00C361BC"/>
    <w:rsid w:val="00E41F8E"/>
    <w:rsid w:val="00E8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1B149DF-415E-47D6-B6AE-556B2678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uiPriority w:val="99"/>
    <w:rsid w:val="00C361BC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Std" w:hAnsi="News Gothic Std" w:cs="News Gothic Std"/>
      <w:color w:val="000000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C361B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BC"/>
  </w:style>
  <w:style w:type="paragraph" w:styleId="Footer">
    <w:name w:val="footer"/>
    <w:basedOn w:val="Normal"/>
    <w:link w:val="Foot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BC"/>
  </w:style>
  <w:style w:type="paragraph" w:styleId="BalloonText">
    <w:name w:val="Balloon Text"/>
    <w:basedOn w:val="Normal"/>
    <w:link w:val="BalloonTextChar"/>
    <w:uiPriority w:val="99"/>
    <w:semiHidden/>
    <w:unhideWhenUsed/>
    <w:rsid w:val="00C3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3EA1"/>
    <w:pPr>
      <w:widowControl w:val="0"/>
      <w:autoSpaceDE w:val="0"/>
      <w:autoSpaceDN w:val="0"/>
      <w:adjustRightInd w:val="0"/>
      <w:spacing w:after="0" w:line="240" w:lineRule="auto"/>
    </w:pPr>
    <w:rPr>
      <w:rFonts w:ascii="News Gothic Std" w:eastAsiaTheme="minorEastAsia" w:hAnsi="News Gothic Std" w:cs="News Gothic St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53EA1"/>
    <w:pPr>
      <w:spacing w:line="22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153EA1"/>
    <w:rPr>
      <w:color w:val="000000"/>
    </w:rPr>
  </w:style>
  <w:style w:type="paragraph" w:customStyle="1" w:styleId="Pa14">
    <w:name w:val="Pa14"/>
    <w:basedOn w:val="Default"/>
    <w:next w:val="Default"/>
    <w:uiPriority w:val="99"/>
    <w:rsid w:val="00153EA1"/>
    <w:pPr>
      <w:spacing w:line="22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153EA1"/>
    <w:pPr>
      <w:spacing w:line="28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153EA1"/>
    <w:pPr>
      <w:spacing w:line="22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613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%20Courtney\Documents\BCDesigns\Clients\Mizzou\Education%20-%20Positive%20Behaviors\Tier%201\Forms%20and%20Checklist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BCDesigns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Courtney</dc:creator>
  <cp:lastModifiedBy>Feeley, Diane J.</cp:lastModifiedBy>
  <cp:revision>4</cp:revision>
  <dcterms:created xsi:type="dcterms:W3CDTF">2014-04-14T18:41:00Z</dcterms:created>
  <dcterms:modified xsi:type="dcterms:W3CDTF">2015-04-13T18:18:00Z</dcterms:modified>
</cp:coreProperties>
</file>