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B48C" w14:textId="02EC6B89" w:rsidR="005A3B8B" w:rsidRPr="006F092F" w:rsidRDefault="00BE56AB" w:rsidP="005A3B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31F20"/>
          <w:sz w:val="28"/>
          <w:szCs w:val="28"/>
        </w:rPr>
        <w:t>Ex</w:t>
      </w:r>
      <w:bookmarkStart w:id="0" w:name="_GoBack"/>
      <w:bookmarkEnd w:id="0"/>
      <w:r w:rsidR="005A3B8B" w:rsidRPr="006F092F">
        <w:rPr>
          <w:rFonts w:ascii="Arial" w:eastAsia="Arial" w:hAnsi="Arial" w:cs="Arial"/>
          <w:b/>
          <w:color w:val="231F20"/>
          <w:sz w:val="28"/>
          <w:szCs w:val="28"/>
        </w:rPr>
        <w:t>ample High School Lesson: Following Directions</w:t>
      </w:r>
    </w:p>
    <w:p w14:paraId="4C544B81" w14:textId="77777777" w:rsidR="005A3B8B" w:rsidRPr="002A01F7" w:rsidRDefault="005A3B8B" w:rsidP="005A3B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A01F7">
        <w:rPr>
          <w:rFonts w:ascii="Arial" w:eastAsia="Arial" w:hAnsi="Arial" w:cs="Arial"/>
          <w:color w:val="231F20"/>
          <w:sz w:val="24"/>
          <w:szCs w:val="24"/>
        </w:rPr>
        <w:t>(Maintenance “Booster”)</w:t>
      </w:r>
    </w:p>
    <w:p w14:paraId="58E17C63" w14:textId="77777777" w:rsidR="005A3B8B" w:rsidRPr="002A01F7" w:rsidRDefault="005A3B8B" w:rsidP="005A3B8B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2218"/>
        <w:gridCol w:w="6326"/>
      </w:tblGrid>
      <w:tr w:rsidR="006F092F" w:rsidRPr="008E2F4C" w14:paraId="47EF96A1" w14:textId="77777777" w:rsidTr="00397C2A">
        <w:trPr>
          <w:trHeight w:hRule="exact" w:val="32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8368E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Expectation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1A5B9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Be Responsible</w:t>
            </w:r>
          </w:p>
        </w:tc>
      </w:tr>
      <w:tr w:rsidR="006F092F" w:rsidRPr="008E2F4C" w14:paraId="298BDBCF" w14:textId="77777777" w:rsidTr="00397C2A">
        <w:trPr>
          <w:trHeight w:hRule="exact" w:val="1112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AAB2E" w14:textId="50CC2AA6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Specific Behavior(s) and/or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Procedures</w:t>
            </w:r>
          </w:p>
          <w:p w14:paraId="4C509401" w14:textId="1601E2F7" w:rsidR="006F092F" w:rsidRPr="008E2F4C" w:rsidRDefault="006F092F" w:rsidP="006F09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List behavior and steps to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complete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AD4FC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Following Directions means:</w:t>
            </w:r>
          </w:p>
          <w:p w14:paraId="33D9B398" w14:textId="39F165D3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8"/>
              <w:rPr>
                <w:rFonts w:ascii="Minion Pro" w:eastAsia="Minion Pro" w:hAnsi="Minion Pro" w:cs="Minion Pro"/>
                <w:sz w:val="20"/>
              </w:rPr>
            </w:pPr>
            <w:r w:rsidRPr="006F092F">
              <w:rPr>
                <w:rFonts w:ascii="Minion Pro" w:eastAsia="Minion Pro" w:hAnsi="Minion Pro" w:cs="Minion Pro"/>
                <w:color w:val="231F20"/>
                <w:sz w:val="20"/>
              </w:rPr>
              <w:t>Listen attentively</w:t>
            </w:r>
          </w:p>
          <w:p w14:paraId="1915174E" w14:textId="77777777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8"/>
              <w:rPr>
                <w:rFonts w:ascii="Minion Pro" w:eastAsia="Minion Pro" w:hAnsi="Minion Pro" w:cs="Minion Pro"/>
                <w:sz w:val="20"/>
              </w:rPr>
            </w:pPr>
            <w:r w:rsidRPr="006F092F">
              <w:rPr>
                <w:rFonts w:ascii="Minion Pro" w:eastAsia="Minion Pro" w:hAnsi="Minion Pro" w:cs="Minion Pro"/>
                <w:color w:val="231F20"/>
                <w:sz w:val="20"/>
              </w:rPr>
              <w:t>Raise hand to clarify questions</w:t>
            </w:r>
          </w:p>
          <w:p w14:paraId="3C8DDE09" w14:textId="072B096C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0"/>
              </w:rPr>
            </w:pPr>
            <w:r w:rsidRPr="006F092F">
              <w:rPr>
                <w:rFonts w:ascii="Minion Pro" w:eastAsia="Minion Pro" w:hAnsi="Minion Pro" w:cs="Minion Pro"/>
                <w:color w:val="231F20"/>
                <w:sz w:val="20"/>
              </w:rPr>
              <w:t>Begin work immediately</w:t>
            </w:r>
          </w:p>
        </w:tc>
      </w:tr>
      <w:tr w:rsidR="006F092F" w:rsidRPr="008E2F4C" w14:paraId="50F45673" w14:textId="77777777" w:rsidTr="00397C2A">
        <w:trPr>
          <w:trHeight w:hRule="exact" w:val="848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C542F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Context</w:t>
            </w:r>
          </w:p>
          <w:p w14:paraId="2055A086" w14:textId="285A7C24" w:rsidR="006F092F" w:rsidRPr="008E2F4C" w:rsidRDefault="006F092F" w:rsidP="006F09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Identify the locations(s) where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behavior is expected.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BFBB7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All Settings</w:t>
            </w:r>
          </w:p>
        </w:tc>
      </w:tr>
      <w:tr w:rsidR="006F092F" w:rsidRPr="008E2F4C" w14:paraId="093DC94F" w14:textId="77777777" w:rsidTr="00397C2A">
        <w:trPr>
          <w:trHeight w:hRule="exact" w:val="32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8A551BE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FFFFFF"/>
                <w:sz w:val="20"/>
              </w:rPr>
              <w:t>Teaching All Students</w:t>
            </w:r>
          </w:p>
        </w:tc>
      </w:tr>
      <w:tr w:rsidR="006F092F" w:rsidRPr="008E2F4C" w14:paraId="59958F9F" w14:textId="77777777" w:rsidTr="006F092F">
        <w:trPr>
          <w:trHeight w:hRule="exact" w:val="2521"/>
        </w:trPr>
        <w:tc>
          <w:tcPr>
            <w:tcW w:w="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226082AA" w14:textId="77777777" w:rsidR="006F092F" w:rsidRPr="008E2F4C" w:rsidRDefault="006F092F" w:rsidP="00397C2A">
            <w:pPr>
              <w:spacing w:after="0" w:line="240" w:lineRule="auto"/>
              <w:rPr>
                <w:sz w:val="20"/>
                <w:szCs w:val="24"/>
              </w:rPr>
            </w:pPr>
          </w:p>
          <w:p w14:paraId="6B81789D" w14:textId="77777777" w:rsidR="006F092F" w:rsidRPr="008E2F4C" w:rsidRDefault="006F092F" w:rsidP="00397C2A">
            <w:pPr>
              <w:spacing w:after="0" w:line="240" w:lineRule="auto"/>
              <w:ind w:left="1636" w:right="1616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Generalization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D1C77" w14:textId="77777777" w:rsidR="006F092F" w:rsidRPr="008E2F4C" w:rsidRDefault="006F092F" w:rsidP="00397C2A">
            <w:pPr>
              <w:spacing w:after="0" w:line="240" w:lineRule="auto"/>
              <w:ind w:left="75" w:right="246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Pre-correct/ Remind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Anticipate and give students a reminder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9DDC4" w14:textId="0A36A303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Reiterate the importance of following directions at frequent intervals by ALL staff.</w:t>
            </w:r>
          </w:p>
          <w:p w14:paraId="6BFD8E8E" w14:textId="00536836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Include in morning announcements, signage, and report data of decreases in non-compliance and insubordination.</w:t>
            </w:r>
          </w:p>
          <w:p w14:paraId="7605DA53" w14:textId="3F2274A4" w:rsidR="006F092F" w:rsidRPr="006F092F" w:rsidRDefault="006F092F" w:rsidP="006F0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Remind before students are expected to follow directions, such as: “Before I give you directions for your next assignment, let’s review the steps of following directions. They are l) listen attentively,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6F092F">
              <w:rPr>
                <w:rFonts w:ascii="Minion Pro" w:eastAsia="Minion Pro" w:hAnsi="Minion Pro" w:cs="Minion Pro"/>
                <w:color w:val="231F20"/>
                <w:sz w:val="20"/>
              </w:rPr>
              <w:t>2) raise your hand if you have questions, and 3) begin task immediately. Now turn to page….”.</w:t>
            </w:r>
          </w:p>
        </w:tc>
      </w:tr>
      <w:tr w:rsidR="006F092F" w:rsidRPr="008E2F4C" w14:paraId="72C36F6D" w14:textId="77777777" w:rsidTr="00397C2A">
        <w:trPr>
          <w:trHeight w:hRule="exact" w:val="848"/>
        </w:trPr>
        <w:tc>
          <w:tcPr>
            <w:tcW w:w="796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9B3AF23" w14:textId="77777777" w:rsidR="006F092F" w:rsidRPr="008E2F4C" w:rsidRDefault="006F092F" w:rsidP="00397C2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2AC87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Supervise</w:t>
            </w:r>
          </w:p>
          <w:p w14:paraId="02EA75F3" w14:textId="2409A8A9" w:rsidR="006F092F" w:rsidRPr="008E2F4C" w:rsidRDefault="006F092F" w:rsidP="006F09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Move, scan and interact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with students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B9802" w14:textId="77777777" w:rsidR="006F092F" w:rsidRPr="008E2F4C" w:rsidRDefault="006F092F" w:rsidP="00397C2A">
            <w:pPr>
              <w:spacing w:after="0" w:line="240" w:lineRule="auto"/>
              <w:ind w:left="75" w:right="321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After directions are given, move, scan and interact with students as they follow instructions the first time.</w:t>
            </w:r>
          </w:p>
        </w:tc>
      </w:tr>
      <w:tr w:rsidR="006F092F" w:rsidRPr="008E2F4C" w14:paraId="58F50C72" w14:textId="77777777" w:rsidTr="00397C2A">
        <w:trPr>
          <w:trHeight w:hRule="exact" w:val="1376"/>
        </w:trPr>
        <w:tc>
          <w:tcPr>
            <w:tcW w:w="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4E968C54" w14:textId="77777777" w:rsidR="006F092F" w:rsidRPr="008E2F4C" w:rsidRDefault="006F092F" w:rsidP="00397C2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2435E" w14:textId="77777777" w:rsidR="006F092F" w:rsidRPr="008E2F4C" w:rsidRDefault="006F092F" w:rsidP="00397C2A">
            <w:pPr>
              <w:spacing w:after="0" w:line="240" w:lineRule="auto"/>
              <w:ind w:left="75" w:right="38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Feedback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Observe student performance &amp; give positive, specific feedback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F2041" w14:textId="77777777" w:rsidR="006F092F" w:rsidRPr="008E2F4C" w:rsidRDefault="006F092F" w:rsidP="00397C2A">
            <w:pPr>
              <w:spacing w:after="0" w:line="240" w:lineRule="auto"/>
              <w:ind w:left="75" w:right="432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“Thanks for being responsible for your learning and following my instructions. Awesome!”</w:t>
            </w:r>
          </w:p>
        </w:tc>
      </w:tr>
      <w:tr w:rsidR="006F092F" w:rsidRPr="008E2F4C" w14:paraId="0A36ADCE" w14:textId="77777777" w:rsidTr="00397C2A">
        <w:trPr>
          <w:trHeight w:hRule="exact" w:val="1112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B448B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Reteach</w:t>
            </w:r>
          </w:p>
          <w:p w14:paraId="1BB15BE5" w14:textId="77777777" w:rsidR="006F092F" w:rsidRPr="008E2F4C" w:rsidRDefault="006F092F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Practice throughout the day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F1A08" w14:textId="77777777" w:rsidR="006F092F" w:rsidRPr="008E2F4C" w:rsidRDefault="006F092F" w:rsidP="00397C2A">
            <w:pPr>
              <w:spacing w:after="0" w:line="240" w:lineRule="auto"/>
              <w:ind w:left="75" w:right="157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Review the behavior and the steps of following directions, if students display a skills deficit provide SHOW and PRACTICE components. Increase reminders, supervision and feedback for “almost there” performance to support student compliance.</w:t>
            </w:r>
          </w:p>
        </w:tc>
      </w:tr>
    </w:tbl>
    <w:p w14:paraId="6D86C420" w14:textId="77777777" w:rsidR="0033661F" w:rsidRDefault="0033661F"/>
    <w:sectPr w:rsidR="0033661F" w:rsidSect="006F092F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79B9" w14:textId="77777777" w:rsidR="002D405F" w:rsidRDefault="002D405F" w:rsidP="005A3B8B">
      <w:pPr>
        <w:spacing w:after="0" w:line="240" w:lineRule="auto"/>
      </w:pPr>
      <w:r>
        <w:separator/>
      </w:r>
    </w:p>
  </w:endnote>
  <w:endnote w:type="continuationSeparator" w:id="0">
    <w:p w14:paraId="54CD4948" w14:textId="77777777" w:rsidR="002D405F" w:rsidRDefault="002D405F" w:rsidP="005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FA54" w14:textId="77777777" w:rsidR="005A3B8B" w:rsidRDefault="00FE652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719E" wp14:editId="06B572AC">
              <wp:simplePos x="0" y="0"/>
              <wp:positionH relativeFrom="column">
                <wp:posOffset>-887730</wp:posOffset>
              </wp:positionH>
              <wp:positionV relativeFrom="paragraph">
                <wp:posOffset>-320040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F3C4" w14:textId="77777777" w:rsidR="00FE6526" w:rsidRPr="00D4429D" w:rsidRDefault="00FE6526" w:rsidP="00FE652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6E08" w14:textId="6D42E28E" w:rsidR="00FE6526" w:rsidRPr="00D4429D" w:rsidRDefault="006F092F" w:rsidP="00FE652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A719E" id="Group 4" o:spid="_x0000_s1026" style="position:absolute;margin-left:-69.9pt;margin-top:-25.2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BH/popHgUAAIIPAAAOAAAAAAAAAAAA&#10;AAAAADwCAABkcnMvZTJvRG9jLnhtbFBLAQItABQABgAIAAAAIQBYYLMbugAAACIBAAAZAAAAAAAA&#10;AAAAAAAAAIYHAABkcnMvX3JlbHMvZTJvRG9jLnhtbC5yZWxzUEsBAi0AFAAGAAgAAAAhAAnYmw7j&#10;AAAADAEAAA8AAAAAAAAAAAAAAAAAdw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9FCF3C4" w14:textId="77777777" w:rsidR="00FE6526" w:rsidRPr="00D4429D" w:rsidRDefault="00FE6526" w:rsidP="00FE652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8436E08" w14:textId="6D42E28E" w:rsidR="00FE6526" w:rsidRPr="00D4429D" w:rsidRDefault="006F092F" w:rsidP="00FE652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D3FB" w14:textId="77777777" w:rsidR="002D405F" w:rsidRDefault="002D405F" w:rsidP="005A3B8B">
      <w:pPr>
        <w:spacing w:after="0" w:line="240" w:lineRule="auto"/>
      </w:pPr>
      <w:r>
        <w:separator/>
      </w:r>
    </w:p>
  </w:footnote>
  <w:footnote w:type="continuationSeparator" w:id="0">
    <w:p w14:paraId="7558CE97" w14:textId="77777777" w:rsidR="002D405F" w:rsidRDefault="002D405F" w:rsidP="005A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DF"/>
    <w:multiLevelType w:val="hybridMultilevel"/>
    <w:tmpl w:val="2ABCC0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0B1766"/>
    <w:multiLevelType w:val="hybridMultilevel"/>
    <w:tmpl w:val="9EF00774"/>
    <w:lvl w:ilvl="0" w:tplc="6F64CF22">
      <w:numFmt w:val="bullet"/>
      <w:lvlText w:val="•"/>
      <w:lvlJc w:val="left"/>
      <w:pPr>
        <w:ind w:left="936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CDB2502"/>
    <w:multiLevelType w:val="hybridMultilevel"/>
    <w:tmpl w:val="AC04AB08"/>
    <w:lvl w:ilvl="0" w:tplc="50EE24D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8B"/>
    <w:rsid w:val="002832DA"/>
    <w:rsid w:val="002C1EA9"/>
    <w:rsid w:val="002D405F"/>
    <w:rsid w:val="0033661F"/>
    <w:rsid w:val="005A3B8B"/>
    <w:rsid w:val="006F092F"/>
    <w:rsid w:val="00B06CF1"/>
    <w:rsid w:val="00B45800"/>
    <w:rsid w:val="00BE56AB"/>
    <w:rsid w:val="00D32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B36F"/>
  <w15:chartTrackingRefBased/>
  <w15:docId w15:val="{BEE757D1-E37E-49CB-9AEB-B84412E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8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8B"/>
  </w:style>
  <w:style w:type="paragraph" w:styleId="Footer">
    <w:name w:val="footer"/>
    <w:basedOn w:val="Normal"/>
    <w:link w:val="FooterChar"/>
    <w:uiPriority w:val="99"/>
    <w:unhideWhenUsed/>
    <w:rsid w:val="005A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2018-06-19T14:56:00Z</dcterms:created>
  <dcterms:modified xsi:type="dcterms:W3CDTF">2018-06-19T14:56:00Z</dcterms:modified>
</cp:coreProperties>
</file>